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D8E" w:rsidRDefault="00DD1EDF" w:rsidP="00DD1EDF">
      <w:pPr>
        <w:jc w:val="center"/>
      </w:pPr>
      <w:bookmarkStart w:id="0" w:name="_GoBack"/>
      <w:bookmarkEnd w:id="0"/>
      <w:r>
        <w:tab/>
        <w:t>REPORT TO THE GENERAL ASSEMBLY</w:t>
      </w:r>
    </w:p>
    <w:p w:rsidR="00DD1EDF" w:rsidRDefault="00DD1EDF" w:rsidP="00DD1EDF">
      <w:pPr>
        <w:jc w:val="center"/>
      </w:pPr>
      <w:r>
        <w:t>JANUARY 29, 2018</w:t>
      </w:r>
    </w:p>
    <w:p w:rsidR="00DD1EDF" w:rsidRDefault="00DD1EDF" w:rsidP="00DD1EDF">
      <w:pPr>
        <w:jc w:val="center"/>
      </w:pPr>
      <w:r>
        <w:t>20 ILCS 540/Custody Relinquishment Prevention Act</w:t>
      </w:r>
    </w:p>
    <w:p w:rsidR="00DD1EDF" w:rsidRDefault="00DD1EDF" w:rsidP="00DD1EDF">
      <w:pPr>
        <w:jc w:val="center"/>
      </w:pPr>
    </w:p>
    <w:p w:rsidR="00DD1EDF" w:rsidRDefault="00DD1EDF" w:rsidP="00DD1EDF">
      <w:pPr>
        <w:jc w:val="both"/>
      </w:pPr>
      <w:r>
        <w:t>Pursuant to the custody Relinquishment Prevention Act, outcomes and data are to be reported annually by the Department of the Children and Family Services</w:t>
      </w:r>
      <w:r w:rsidR="00284E35">
        <w:t xml:space="preserve"> (DCFS)</w:t>
      </w:r>
      <w:r>
        <w:t>.</w:t>
      </w:r>
    </w:p>
    <w:p w:rsidR="00DD1EDF" w:rsidRDefault="00DD1EDF" w:rsidP="00DD1EDF">
      <w:pPr>
        <w:jc w:val="both"/>
      </w:pPr>
      <w:r>
        <w:t>This law became effective January 1, 2015 and establishes a pathway for families on the verge of seeking services for their child’s serious mental illness or serious emotional disturbance through relinquishment of parental custody to DCFS despite the absence of abuse or neglect, to receive services through the appropriate State child-serving agency.</w:t>
      </w:r>
      <w:r w:rsidR="008740BF">
        <w:t xml:space="preserve">  </w:t>
      </w:r>
      <w:r w:rsidR="00284E35">
        <w:t>The goal of the law is to divert youth at risk of custody relinquishment to DCFS.</w:t>
      </w:r>
    </w:p>
    <w:p w:rsidR="00937830" w:rsidRDefault="00937830" w:rsidP="0078089B">
      <w:pPr>
        <w:jc w:val="both"/>
      </w:pPr>
      <w:r>
        <w:t>Such relinquishment of parental custody is commonly referred to as a “lockout.”  This happens when insurance/Medicaid deems that further hospitalization for a child is going to be “beyond medical necessity,” yet parents refuse to take the youth home, often because they cannot find or afford alternative placement or appropriate services.  This “lockout” of the youth by parents leads the hospital to make a hotline call to DCFS, forcing DCFS to investigate and determine if a “lockout” has in fact occurred or if there are indeed issues of abuse and neglect associated with the situation.</w:t>
      </w:r>
      <w:r w:rsidR="0078089B">
        <w:t xml:space="preserve">  Although DCFS investigates the report of a “lockout” as an allegation of abuse and neglect – in the vast majority of situations, the case is determined to be what is called a “no fault dependency.”</w:t>
      </w:r>
    </w:p>
    <w:p w:rsidR="00DD1EDF" w:rsidRDefault="00937830" w:rsidP="00DD1EDF">
      <w:pPr>
        <w:jc w:val="both"/>
      </w:pPr>
      <w:r>
        <w:t>To implement this Act, an</w:t>
      </w:r>
      <w:r w:rsidR="00DD1EDF">
        <w:t xml:space="preserve"> </w:t>
      </w:r>
      <w:r>
        <w:t xml:space="preserve">intergovernmental agreement </w:t>
      </w:r>
      <w:r w:rsidR="00DD1EDF">
        <w:t>was completed 4/19</w:t>
      </w:r>
      <w:r w:rsidR="000F4D1F">
        <w:t>/</w:t>
      </w:r>
      <w:r w:rsidR="00DD1EDF">
        <w:t xml:space="preserve">16 between the Illinois Department of Human Services (DHS), the Illinois Department of healthcare and Family Services (HFS), the Illinois Department of Children and Family Services (DCFS), </w:t>
      </w:r>
      <w:r>
        <w:t xml:space="preserve">the </w:t>
      </w:r>
      <w:r w:rsidR="00DD1EDF">
        <w:t xml:space="preserve">Illinois Department of Juvenile Justice (DJJ), the Illinois Department of Public Health (DPH), and the Illinois State Board of Education (ISBE).  </w:t>
      </w:r>
      <w:r w:rsidR="000F4D1F">
        <w:t>These agencies then came together to develop a program plan defined as the Specialized Family Support Program (SFSP).  This program is an expansion of the Illinois behavioral health crisis response system for youth, jointly utilizing the resources already found in the Screening, Assessment, and Support Services (SASS), Comprehensive Community Based Youth Services (CCBYS) and Intensive Placement Stabilization Services (IPS).  Through leveraging existing state resources and altering key programmatic policies to accommodate the special needs of this population, the SFSP seeks to establish a pathway for youth at risk of custody relinquishment to receive services through the appropriate child serving agency.</w:t>
      </w:r>
    </w:p>
    <w:p w:rsidR="00306869" w:rsidRDefault="000F4D1F" w:rsidP="00DD1EDF">
      <w:pPr>
        <w:jc w:val="both"/>
      </w:pPr>
      <w:r>
        <w:t xml:space="preserve">An Interagency Clinical Team (ICT) with members from all participating state agencies was established to begin the process of operationalizing the SFSP.  A </w:t>
      </w:r>
      <w:r w:rsidR="00937830">
        <w:t xml:space="preserve">training </w:t>
      </w:r>
      <w:r>
        <w:t>plan was developed with all agencies and community stakeholders receiving the same training and message, designed to address the needs</w:t>
      </w:r>
      <w:r w:rsidR="00937830">
        <w:t xml:space="preserve"> and </w:t>
      </w:r>
      <w:r>
        <w:t>questions o</w:t>
      </w:r>
      <w:r w:rsidR="00EC44A1">
        <w:t xml:space="preserve">f each stakeholder.  </w:t>
      </w:r>
      <w:r w:rsidR="00306869">
        <w:t>Training</w:t>
      </w:r>
      <w:r>
        <w:t xml:space="preserve"> for all stakeholder</w:t>
      </w:r>
      <w:r w:rsidR="00D41205">
        <w:t>s</w:t>
      </w:r>
      <w:r>
        <w:t xml:space="preserve"> occurred </w:t>
      </w:r>
      <w:r w:rsidR="00937830">
        <w:t xml:space="preserve">prior to the SFSP </w:t>
      </w:r>
      <w:r w:rsidR="00306869">
        <w:t xml:space="preserve">launch date </w:t>
      </w:r>
      <w:r w:rsidR="00E90601">
        <w:t>of April 1</w:t>
      </w:r>
      <w:r w:rsidR="00306869">
        <w:t xml:space="preserve">, </w:t>
      </w:r>
      <w:proofErr w:type="gramStart"/>
      <w:r w:rsidR="00306869">
        <w:t>2017 .</w:t>
      </w:r>
      <w:proofErr w:type="gramEnd"/>
      <w:r w:rsidR="00306869">
        <w:t xml:space="preserve">  Repeat and additional training was also provided to any stakeholder requesting such to ensure they understood the parameters of the program.  Along with the training plan, a parent </w:t>
      </w:r>
      <w:r w:rsidR="00306869">
        <w:lastRenderedPageBreak/>
        <w:t>handbook was developed</w:t>
      </w:r>
      <w:r w:rsidR="002A11EE">
        <w:t>, as was a FAQ sheet and</w:t>
      </w:r>
      <w:r w:rsidR="00306869">
        <w:t xml:space="preserve"> a consent form for families participating in the SFSP program.</w:t>
      </w:r>
      <w:r w:rsidR="00EC44A1">
        <w:t xml:space="preserve">  </w:t>
      </w:r>
    </w:p>
    <w:p w:rsidR="005028C2" w:rsidRDefault="005028C2" w:rsidP="00DD1EDF">
      <w:pPr>
        <w:jc w:val="both"/>
      </w:pPr>
      <w:r w:rsidRPr="00EC44A1">
        <w:rPr>
          <w:rFonts w:eastAsia="Calibri" w:cs="Arial"/>
        </w:rPr>
        <w:t xml:space="preserve">The ICT met weekly, led by HFS, throughout FY2017 to ensure program quality and stability, and to review all submitted clinical assessment reports to determine lead agency responsibility and ongoing access to needed services.  </w:t>
      </w:r>
    </w:p>
    <w:p w:rsidR="003C69D6" w:rsidRDefault="00306869" w:rsidP="00DD1EDF">
      <w:pPr>
        <w:jc w:val="both"/>
      </w:pPr>
      <w:r>
        <w:t>Basic gui</w:t>
      </w:r>
      <w:r w:rsidR="002A11EE">
        <w:t xml:space="preserve">delines were developed </w:t>
      </w:r>
      <w:r>
        <w:t xml:space="preserve">to identify the youth eligible for the program and the actual process to </w:t>
      </w:r>
      <w:r w:rsidR="002A11EE">
        <w:t>be implemented for participation</w:t>
      </w:r>
      <w:r>
        <w:t xml:space="preserve"> </w:t>
      </w:r>
      <w:r w:rsidR="00E90601">
        <w:t>in</w:t>
      </w:r>
      <w:r w:rsidR="002A11EE">
        <w:t xml:space="preserve"> the</w:t>
      </w:r>
      <w:r w:rsidR="00E90601">
        <w:t xml:space="preserve"> SFSP.  </w:t>
      </w:r>
    </w:p>
    <w:p w:rsidR="003C69D6" w:rsidRDefault="00E90601" w:rsidP="009833FA">
      <w:pPr>
        <w:pStyle w:val="ListParagraph"/>
        <w:numPr>
          <w:ilvl w:val="0"/>
          <w:numId w:val="1"/>
        </w:numPr>
        <w:jc w:val="both"/>
      </w:pPr>
      <w:r>
        <w:t>Children</w:t>
      </w:r>
      <w:r w:rsidR="00306869">
        <w:t xml:space="preserve"> eligible for the SFSP must </w:t>
      </w:r>
      <w:r>
        <w:t>be under the age of 18 and come to the attention of DCFS through a psy</w:t>
      </w:r>
      <w:r w:rsidR="00545408">
        <w:t>chiatric lockout allegation (</w:t>
      </w:r>
      <w:r w:rsidR="00937830">
        <w:t xml:space="preserve">DCFS system code </w:t>
      </w:r>
      <w:r w:rsidR="00545408">
        <w:t>84b</w:t>
      </w:r>
      <w:r w:rsidR="002A11EE">
        <w:t xml:space="preserve">).  </w:t>
      </w:r>
    </w:p>
    <w:p w:rsidR="003C69D6" w:rsidRDefault="002A11EE" w:rsidP="009833FA">
      <w:pPr>
        <w:pStyle w:val="ListParagraph"/>
        <w:numPr>
          <w:ilvl w:val="0"/>
          <w:numId w:val="1"/>
        </w:numPr>
        <w:jc w:val="both"/>
      </w:pPr>
      <w:r>
        <w:t>N</w:t>
      </w:r>
      <w:r w:rsidR="00E90601">
        <w:t xml:space="preserve">o other </w:t>
      </w:r>
      <w:r w:rsidR="00937830">
        <w:t xml:space="preserve">type of </w:t>
      </w:r>
      <w:r w:rsidR="00E90601">
        <w:t xml:space="preserve">abuse or neglect </w:t>
      </w:r>
      <w:r>
        <w:t xml:space="preserve">should be </w:t>
      </w:r>
      <w:r w:rsidR="00E90601">
        <w:t>identifi</w:t>
      </w:r>
      <w:r>
        <w:t xml:space="preserve">ed.  </w:t>
      </w:r>
    </w:p>
    <w:p w:rsidR="003C69D6" w:rsidRDefault="002A11EE" w:rsidP="009833FA">
      <w:pPr>
        <w:pStyle w:val="ListParagraph"/>
        <w:numPr>
          <w:ilvl w:val="0"/>
          <w:numId w:val="1"/>
        </w:numPr>
        <w:jc w:val="both"/>
      </w:pPr>
      <w:r>
        <w:t xml:space="preserve">This is the only pathway </w:t>
      </w:r>
      <w:r w:rsidR="00E90601">
        <w:t>to the program</w:t>
      </w:r>
      <w:r w:rsidR="00D41205">
        <w:t xml:space="preserve"> at this time</w:t>
      </w:r>
      <w:r w:rsidR="00E90601">
        <w:t xml:space="preserve">.  </w:t>
      </w:r>
    </w:p>
    <w:p w:rsidR="00545408" w:rsidRDefault="00EC44A1" w:rsidP="003C69D6">
      <w:pPr>
        <w:jc w:val="both"/>
      </w:pPr>
      <w:r>
        <w:t xml:space="preserve">From </w:t>
      </w:r>
      <w:r w:rsidR="00F71464">
        <w:t>April 1, 2017 to June 30, 2017 (fiscal year 2017)</w:t>
      </w:r>
      <w:r w:rsidR="003C69D6">
        <w:t>,</w:t>
      </w:r>
      <w:r w:rsidR="00F71464">
        <w:t xml:space="preserve"> DCFS received seventy (70) investigations related </w:t>
      </w:r>
      <w:r w:rsidR="00545408">
        <w:t>to allegation 84b</w:t>
      </w:r>
      <w:r w:rsidR="00F71464">
        <w:t xml:space="preserve"> psychiatric lockout.  As of June 30, 2017, twenty</w:t>
      </w:r>
      <w:r w:rsidR="00545408">
        <w:t>-</w:t>
      </w:r>
      <w:r w:rsidR="0018193B">
        <w:t>eight (28</w:t>
      </w:r>
      <w:r w:rsidR="00F71464">
        <w:t>) of those seventy (70) investigations were still pending.</w:t>
      </w:r>
      <w:r w:rsidR="00DC0460">
        <w:t xml:space="preserve">  The following explains the status of the 84b hotline reports as of June 30, 2017:</w:t>
      </w:r>
    </w:p>
    <w:tbl>
      <w:tblPr>
        <w:tblStyle w:val="TableGrid"/>
        <w:tblW w:w="0" w:type="auto"/>
        <w:tblLook w:val="04A0" w:firstRow="1" w:lastRow="0" w:firstColumn="1" w:lastColumn="0" w:noHBand="0" w:noVBand="1"/>
      </w:tblPr>
      <w:tblGrid>
        <w:gridCol w:w="1615"/>
        <w:gridCol w:w="1647"/>
        <w:gridCol w:w="1637"/>
        <w:gridCol w:w="1583"/>
        <w:gridCol w:w="1536"/>
        <w:gridCol w:w="1332"/>
      </w:tblGrid>
      <w:tr w:rsidR="005028C2" w:rsidTr="009833FA">
        <w:tc>
          <w:tcPr>
            <w:tcW w:w="1615" w:type="dxa"/>
          </w:tcPr>
          <w:p w:rsidR="005028C2" w:rsidRPr="001359EB" w:rsidRDefault="005028C2" w:rsidP="00F73B22">
            <w:pPr>
              <w:rPr>
                <w:rFonts w:cstheme="minorHAnsi"/>
              </w:rPr>
            </w:pPr>
            <w:r w:rsidRPr="001359EB">
              <w:rPr>
                <w:rFonts w:cstheme="minorHAnsi"/>
              </w:rPr>
              <w:t>Unfounded Allegation;</w:t>
            </w:r>
          </w:p>
          <w:p w:rsidR="005028C2" w:rsidRPr="001359EB" w:rsidRDefault="005028C2" w:rsidP="00F73B22">
            <w:pPr>
              <w:rPr>
                <w:rFonts w:cstheme="minorHAnsi"/>
              </w:rPr>
            </w:pPr>
            <w:r>
              <w:rPr>
                <w:rFonts w:cstheme="minorHAnsi"/>
              </w:rPr>
              <w:t>Child Remained with C</w:t>
            </w:r>
            <w:r w:rsidRPr="001359EB">
              <w:rPr>
                <w:rFonts w:cstheme="minorHAnsi"/>
              </w:rPr>
              <w:t>aregiver</w:t>
            </w:r>
          </w:p>
        </w:tc>
        <w:tc>
          <w:tcPr>
            <w:tcW w:w="1647" w:type="dxa"/>
          </w:tcPr>
          <w:p w:rsidR="005028C2" w:rsidRPr="001359EB" w:rsidRDefault="005028C2" w:rsidP="00F73B22">
            <w:pPr>
              <w:rPr>
                <w:rFonts w:cstheme="minorHAnsi"/>
              </w:rPr>
            </w:pPr>
            <w:r w:rsidRPr="001359EB">
              <w:rPr>
                <w:rFonts w:cstheme="minorHAnsi"/>
              </w:rPr>
              <w:t>Unfounded Allegation;</w:t>
            </w:r>
          </w:p>
          <w:p w:rsidR="005028C2" w:rsidRPr="001359EB" w:rsidRDefault="005028C2" w:rsidP="00F73B22">
            <w:pPr>
              <w:rPr>
                <w:rFonts w:cstheme="minorHAnsi"/>
              </w:rPr>
            </w:pPr>
            <w:r>
              <w:rPr>
                <w:rFonts w:cstheme="minorHAnsi"/>
              </w:rPr>
              <w:t xml:space="preserve">No Fault </w:t>
            </w:r>
            <w:r w:rsidRPr="001359EB">
              <w:rPr>
                <w:rFonts w:cstheme="minorHAnsi"/>
              </w:rPr>
              <w:t>Dependency Petition (placement)</w:t>
            </w:r>
          </w:p>
        </w:tc>
        <w:tc>
          <w:tcPr>
            <w:tcW w:w="1637" w:type="dxa"/>
          </w:tcPr>
          <w:p w:rsidR="005028C2" w:rsidRPr="001359EB" w:rsidRDefault="005028C2" w:rsidP="00F73B22">
            <w:pPr>
              <w:rPr>
                <w:rFonts w:cstheme="minorHAnsi"/>
              </w:rPr>
            </w:pPr>
            <w:r w:rsidRPr="001359EB">
              <w:rPr>
                <w:rFonts w:cstheme="minorHAnsi"/>
              </w:rPr>
              <w:t xml:space="preserve">Indicated Allegation; </w:t>
            </w:r>
          </w:p>
          <w:p w:rsidR="005028C2" w:rsidRPr="001359EB" w:rsidRDefault="005028C2" w:rsidP="00F73B22">
            <w:pPr>
              <w:rPr>
                <w:rFonts w:cstheme="minorHAnsi"/>
              </w:rPr>
            </w:pPr>
            <w:r w:rsidRPr="001359EB">
              <w:rPr>
                <w:rFonts w:cstheme="minorHAnsi"/>
              </w:rPr>
              <w:t>Neglect Petition (placement)</w:t>
            </w:r>
          </w:p>
        </w:tc>
        <w:tc>
          <w:tcPr>
            <w:tcW w:w="1583" w:type="dxa"/>
          </w:tcPr>
          <w:p w:rsidR="005028C2" w:rsidRPr="001359EB" w:rsidRDefault="005028C2" w:rsidP="00F73B22">
            <w:pPr>
              <w:rPr>
                <w:rFonts w:cstheme="minorHAnsi"/>
              </w:rPr>
            </w:pPr>
            <w:r>
              <w:rPr>
                <w:rFonts w:cstheme="minorHAnsi"/>
              </w:rPr>
              <w:t>Other</w:t>
            </w:r>
          </w:p>
        </w:tc>
        <w:tc>
          <w:tcPr>
            <w:tcW w:w="1536" w:type="dxa"/>
          </w:tcPr>
          <w:p w:rsidR="005028C2" w:rsidRDefault="005028C2" w:rsidP="00F73B22">
            <w:pPr>
              <w:rPr>
                <w:rFonts w:cstheme="minorHAnsi"/>
              </w:rPr>
            </w:pPr>
            <w:r>
              <w:rPr>
                <w:rFonts w:cstheme="minorHAnsi"/>
              </w:rPr>
              <w:t>Pending</w:t>
            </w:r>
          </w:p>
        </w:tc>
        <w:tc>
          <w:tcPr>
            <w:tcW w:w="1332" w:type="dxa"/>
          </w:tcPr>
          <w:p w:rsidR="005028C2" w:rsidRDefault="005028C2" w:rsidP="00F73B22">
            <w:pPr>
              <w:rPr>
                <w:rFonts w:cstheme="minorHAnsi"/>
              </w:rPr>
            </w:pPr>
            <w:r>
              <w:rPr>
                <w:rFonts w:cstheme="minorHAnsi"/>
              </w:rPr>
              <w:t>Total Psychiatric Lockout Allegations</w:t>
            </w:r>
          </w:p>
        </w:tc>
      </w:tr>
      <w:tr w:rsidR="005028C2" w:rsidTr="009833FA">
        <w:tc>
          <w:tcPr>
            <w:tcW w:w="1615" w:type="dxa"/>
          </w:tcPr>
          <w:p w:rsidR="005028C2" w:rsidRPr="001359EB" w:rsidRDefault="005028C2" w:rsidP="00F73B22">
            <w:pPr>
              <w:rPr>
                <w:rFonts w:cstheme="minorHAnsi"/>
              </w:rPr>
            </w:pPr>
            <w:r>
              <w:rPr>
                <w:rFonts w:cstheme="minorHAnsi"/>
              </w:rPr>
              <w:t>32</w:t>
            </w:r>
          </w:p>
        </w:tc>
        <w:tc>
          <w:tcPr>
            <w:tcW w:w="1647" w:type="dxa"/>
          </w:tcPr>
          <w:p w:rsidR="005028C2" w:rsidRPr="001359EB" w:rsidRDefault="005028C2" w:rsidP="00F73B22">
            <w:pPr>
              <w:rPr>
                <w:rFonts w:cstheme="minorHAnsi"/>
              </w:rPr>
            </w:pPr>
            <w:r>
              <w:rPr>
                <w:rFonts w:cstheme="minorHAnsi"/>
              </w:rPr>
              <w:t>7</w:t>
            </w:r>
          </w:p>
        </w:tc>
        <w:tc>
          <w:tcPr>
            <w:tcW w:w="1637" w:type="dxa"/>
          </w:tcPr>
          <w:p w:rsidR="005028C2" w:rsidRPr="001359EB" w:rsidRDefault="005028C2" w:rsidP="00F73B22">
            <w:pPr>
              <w:rPr>
                <w:rFonts w:cstheme="minorHAnsi"/>
              </w:rPr>
            </w:pPr>
            <w:r>
              <w:rPr>
                <w:rFonts w:cstheme="minorHAnsi"/>
              </w:rPr>
              <w:t>1</w:t>
            </w:r>
          </w:p>
        </w:tc>
        <w:tc>
          <w:tcPr>
            <w:tcW w:w="1583" w:type="dxa"/>
          </w:tcPr>
          <w:p w:rsidR="005028C2" w:rsidRPr="001359EB" w:rsidRDefault="005028C2" w:rsidP="00F73B22">
            <w:pPr>
              <w:rPr>
                <w:rFonts w:cstheme="minorHAnsi"/>
              </w:rPr>
            </w:pPr>
            <w:r>
              <w:rPr>
                <w:rFonts w:cstheme="minorHAnsi"/>
              </w:rPr>
              <w:t>2 (youth from another state; indicated allegation but child remained with caregiver)</w:t>
            </w:r>
          </w:p>
        </w:tc>
        <w:tc>
          <w:tcPr>
            <w:tcW w:w="1536" w:type="dxa"/>
          </w:tcPr>
          <w:p w:rsidR="005028C2" w:rsidRDefault="005028C2" w:rsidP="00F73B22">
            <w:pPr>
              <w:rPr>
                <w:rFonts w:cstheme="minorHAnsi"/>
              </w:rPr>
            </w:pPr>
            <w:r>
              <w:rPr>
                <w:rFonts w:cstheme="minorHAnsi"/>
              </w:rPr>
              <w:t>28</w:t>
            </w:r>
          </w:p>
        </w:tc>
        <w:tc>
          <w:tcPr>
            <w:tcW w:w="1332" w:type="dxa"/>
          </w:tcPr>
          <w:p w:rsidR="005028C2" w:rsidRDefault="005028C2" w:rsidP="00F73B22">
            <w:pPr>
              <w:rPr>
                <w:rFonts w:cstheme="minorHAnsi"/>
              </w:rPr>
            </w:pPr>
            <w:r>
              <w:rPr>
                <w:rFonts w:cstheme="minorHAnsi"/>
              </w:rPr>
              <w:t>70</w:t>
            </w:r>
          </w:p>
        </w:tc>
      </w:tr>
    </w:tbl>
    <w:p w:rsidR="005028C2" w:rsidRDefault="005028C2" w:rsidP="00DD1EDF">
      <w:pPr>
        <w:jc w:val="both"/>
      </w:pPr>
    </w:p>
    <w:p w:rsidR="00545408" w:rsidRDefault="00DC0460" w:rsidP="00DD1EDF">
      <w:pPr>
        <w:jc w:val="both"/>
      </w:pPr>
      <w:r>
        <w:t>The youth</w:t>
      </w:r>
      <w:r w:rsidR="00113C9D">
        <w:t xml:space="preserve"> who entered substitute care</w:t>
      </w:r>
      <w:r w:rsidR="003C69D6">
        <w:t xml:space="preserve"> </w:t>
      </w:r>
      <w:r w:rsidR="0078089B">
        <w:t xml:space="preserve">(placement) </w:t>
      </w:r>
      <w:r w:rsidR="003C69D6">
        <w:t>during</w:t>
      </w:r>
      <w:r w:rsidR="00113C9D">
        <w:t xml:space="preserve"> this period remained in care</w:t>
      </w:r>
      <w:r w:rsidR="00D41205">
        <w:t xml:space="preserve"> through the end of the report period</w:t>
      </w:r>
      <w:r w:rsidR="00113C9D">
        <w:t>.</w:t>
      </w:r>
    </w:p>
    <w:p w:rsidR="00EC44A1" w:rsidRPr="00EC44A1" w:rsidRDefault="00EC44A1" w:rsidP="00EC44A1">
      <w:pPr>
        <w:spacing w:after="0" w:line="240" w:lineRule="auto"/>
        <w:rPr>
          <w:rFonts w:eastAsia="Calibri" w:cs="Arial"/>
        </w:rPr>
      </w:pPr>
      <w:r w:rsidRPr="00EC44A1">
        <w:rPr>
          <w:rFonts w:eastAsia="Calibri" w:cs="Arial"/>
        </w:rPr>
        <w:t>Based on data received from HFS from a launch date of April 1, 2017</w:t>
      </w:r>
      <w:r w:rsidR="003C69D6">
        <w:rPr>
          <w:rFonts w:eastAsia="Calibri" w:cs="Arial"/>
        </w:rPr>
        <w:t xml:space="preserve"> to </w:t>
      </w:r>
      <w:r w:rsidRPr="00EC44A1">
        <w:rPr>
          <w:rFonts w:eastAsia="Calibri" w:cs="Arial"/>
        </w:rPr>
        <w:t>June 30, 2017</w:t>
      </w:r>
      <w:r w:rsidR="005028C2">
        <w:rPr>
          <w:rFonts w:eastAsia="Calibri" w:cs="Arial"/>
        </w:rPr>
        <w:t>, 27 families were referred to SFSP</w:t>
      </w:r>
      <w:r w:rsidRPr="00EC44A1">
        <w:rPr>
          <w:rFonts w:eastAsia="Calibri" w:cs="Arial"/>
        </w:rPr>
        <w:t>:</w:t>
      </w:r>
    </w:p>
    <w:p w:rsidR="00EC44A1" w:rsidRPr="00EC44A1" w:rsidRDefault="00EC44A1" w:rsidP="00EC44A1">
      <w:pPr>
        <w:spacing w:after="0" w:line="240" w:lineRule="auto"/>
        <w:rPr>
          <w:rFonts w:eastAsia="Calibri" w:cs="Arial"/>
          <w:sz w:val="24"/>
          <w:szCs w:val="24"/>
        </w:rPr>
      </w:pPr>
    </w:p>
    <w:p w:rsidR="00EC44A1" w:rsidRPr="00EC44A1" w:rsidRDefault="00EC44A1" w:rsidP="00EC44A1">
      <w:pPr>
        <w:spacing w:after="0" w:line="240" w:lineRule="auto"/>
        <w:ind w:firstLine="720"/>
        <w:rPr>
          <w:rFonts w:eastAsia="Calibri" w:cs="Arial"/>
          <w:sz w:val="20"/>
          <w:szCs w:val="20"/>
        </w:rPr>
      </w:pPr>
      <w:r w:rsidRPr="00EC44A1">
        <w:rPr>
          <w:rFonts w:eastAsia="Calibri" w:cs="Arial"/>
          <w:sz w:val="20"/>
          <w:szCs w:val="20"/>
        </w:rPr>
        <w:t xml:space="preserve">FY 2017 Program Measures </w:t>
      </w:r>
      <w:r w:rsidRPr="00EC44A1">
        <w:rPr>
          <w:rFonts w:eastAsia="Calibri" w:cs="Arial"/>
          <w:sz w:val="20"/>
          <w:szCs w:val="20"/>
        </w:rPr>
        <w:tab/>
        <w:t xml:space="preserve">    (4/1/2017 – 6/30/2017)</w:t>
      </w:r>
    </w:p>
    <w:tbl>
      <w:tblPr>
        <w:tblStyle w:val="TableGrid"/>
        <w:tblW w:w="0" w:type="auto"/>
        <w:tblInd w:w="866" w:type="dxa"/>
        <w:tblLook w:val="04A0" w:firstRow="1" w:lastRow="0" w:firstColumn="1" w:lastColumn="0" w:noHBand="0" w:noVBand="1"/>
      </w:tblPr>
      <w:tblGrid>
        <w:gridCol w:w="804"/>
        <w:gridCol w:w="3658"/>
        <w:gridCol w:w="630"/>
      </w:tblGrid>
      <w:tr w:rsidR="00EC44A1" w:rsidRPr="00EC44A1" w:rsidTr="002A451F">
        <w:tc>
          <w:tcPr>
            <w:tcW w:w="804" w:type="dxa"/>
            <w:shd w:val="clear" w:color="auto" w:fill="C6D9F1" w:themeFill="text2" w:themeFillTint="33"/>
          </w:tcPr>
          <w:p w:rsidR="00EC44A1" w:rsidRPr="00EC44A1" w:rsidRDefault="00EC44A1" w:rsidP="00EC44A1">
            <w:pPr>
              <w:jc w:val="center"/>
              <w:rPr>
                <w:rFonts w:eastAsia="Calibri" w:cs="Arial"/>
              </w:rPr>
            </w:pPr>
            <w:r w:rsidRPr="00EC44A1">
              <w:rPr>
                <w:rFonts w:eastAsia="Calibri" w:cs="Arial"/>
              </w:rPr>
              <w:t>N</w:t>
            </w:r>
          </w:p>
        </w:tc>
        <w:tc>
          <w:tcPr>
            <w:tcW w:w="3658" w:type="dxa"/>
            <w:shd w:val="clear" w:color="auto" w:fill="C6D9F1" w:themeFill="text2" w:themeFillTint="33"/>
          </w:tcPr>
          <w:p w:rsidR="00EC44A1" w:rsidRPr="00EC44A1" w:rsidRDefault="00EC44A1" w:rsidP="00EC44A1">
            <w:pPr>
              <w:rPr>
                <w:rFonts w:eastAsia="Calibri" w:cs="Arial"/>
              </w:rPr>
            </w:pPr>
            <w:r w:rsidRPr="00EC44A1">
              <w:rPr>
                <w:rFonts w:eastAsia="Calibri" w:cs="Arial"/>
              </w:rPr>
              <w:t>Measure</w:t>
            </w:r>
          </w:p>
        </w:tc>
        <w:tc>
          <w:tcPr>
            <w:tcW w:w="630" w:type="dxa"/>
            <w:shd w:val="clear" w:color="auto" w:fill="C6D9F1" w:themeFill="text2" w:themeFillTint="33"/>
          </w:tcPr>
          <w:p w:rsidR="00EC44A1" w:rsidRPr="00EC44A1" w:rsidRDefault="00EC44A1" w:rsidP="00EC44A1">
            <w:pPr>
              <w:rPr>
                <w:rFonts w:eastAsia="Calibri" w:cs="Arial"/>
              </w:rPr>
            </w:pPr>
            <w:r w:rsidRPr="00EC44A1">
              <w:rPr>
                <w:rFonts w:eastAsia="Calibri" w:cs="Arial"/>
              </w:rPr>
              <w:t>%</w:t>
            </w:r>
          </w:p>
        </w:tc>
      </w:tr>
      <w:tr w:rsidR="00EC44A1" w:rsidRPr="00EC44A1" w:rsidTr="002A451F">
        <w:tc>
          <w:tcPr>
            <w:tcW w:w="804" w:type="dxa"/>
          </w:tcPr>
          <w:p w:rsidR="00EC44A1" w:rsidRPr="00EC44A1" w:rsidRDefault="00EC44A1" w:rsidP="00EC44A1">
            <w:pPr>
              <w:jc w:val="center"/>
              <w:rPr>
                <w:rFonts w:eastAsia="Calibri" w:cs="Arial"/>
              </w:rPr>
            </w:pPr>
            <w:r w:rsidRPr="00EC44A1">
              <w:rPr>
                <w:rFonts w:eastAsia="Calibri" w:cs="Arial"/>
              </w:rPr>
              <w:t>27</w:t>
            </w:r>
          </w:p>
        </w:tc>
        <w:tc>
          <w:tcPr>
            <w:tcW w:w="3658" w:type="dxa"/>
          </w:tcPr>
          <w:p w:rsidR="00EC44A1" w:rsidRPr="00EC44A1" w:rsidRDefault="00EC44A1" w:rsidP="00EC44A1">
            <w:pPr>
              <w:rPr>
                <w:rFonts w:eastAsia="Calibri" w:cs="Arial"/>
              </w:rPr>
            </w:pPr>
            <w:r w:rsidRPr="00EC44A1">
              <w:rPr>
                <w:rFonts w:eastAsia="Calibri" w:cs="Arial"/>
              </w:rPr>
              <w:t>Program Referrals</w:t>
            </w:r>
          </w:p>
        </w:tc>
        <w:tc>
          <w:tcPr>
            <w:tcW w:w="630" w:type="dxa"/>
          </w:tcPr>
          <w:p w:rsidR="00EC44A1" w:rsidRPr="00EC44A1" w:rsidRDefault="00EC44A1" w:rsidP="00EC44A1">
            <w:pPr>
              <w:jc w:val="right"/>
              <w:rPr>
                <w:rFonts w:eastAsia="Calibri" w:cs="Arial"/>
              </w:rPr>
            </w:pPr>
            <w:r w:rsidRPr="00EC44A1">
              <w:rPr>
                <w:rFonts w:eastAsia="Calibri" w:cs="Arial"/>
              </w:rPr>
              <w:t>100</w:t>
            </w:r>
          </w:p>
        </w:tc>
      </w:tr>
      <w:tr w:rsidR="00EC44A1" w:rsidRPr="00EC44A1" w:rsidTr="002A451F">
        <w:tc>
          <w:tcPr>
            <w:tcW w:w="804" w:type="dxa"/>
          </w:tcPr>
          <w:p w:rsidR="00EC44A1" w:rsidRPr="00EC44A1" w:rsidRDefault="00EC44A1" w:rsidP="00EC44A1">
            <w:pPr>
              <w:jc w:val="center"/>
              <w:rPr>
                <w:rFonts w:eastAsia="Calibri" w:cs="Arial"/>
              </w:rPr>
            </w:pPr>
            <w:r w:rsidRPr="00EC44A1">
              <w:rPr>
                <w:rFonts w:eastAsia="Calibri" w:cs="Arial"/>
              </w:rPr>
              <w:t xml:space="preserve">6 </w:t>
            </w:r>
          </w:p>
        </w:tc>
        <w:tc>
          <w:tcPr>
            <w:tcW w:w="3658" w:type="dxa"/>
          </w:tcPr>
          <w:p w:rsidR="00EC44A1" w:rsidRPr="00EC44A1" w:rsidRDefault="00EC44A1" w:rsidP="00EC44A1">
            <w:pPr>
              <w:rPr>
                <w:rFonts w:eastAsia="Calibri" w:cs="Arial"/>
              </w:rPr>
            </w:pPr>
            <w:r w:rsidRPr="00EC44A1">
              <w:rPr>
                <w:rFonts w:eastAsia="Calibri" w:cs="Arial"/>
              </w:rPr>
              <w:t>Families Completed</w:t>
            </w:r>
            <w:r w:rsidR="00D41205">
              <w:rPr>
                <w:rFonts w:eastAsia="Calibri" w:cs="Arial"/>
              </w:rPr>
              <w:t xml:space="preserve"> SFSP</w:t>
            </w:r>
            <w:r w:rsidRPr="00EC44A1">
              <w:rPr>
                <w:rFonts w:eastAsia="Calibri" w:cs="Arial"/>
              </w:rPr>
              <w:t xml:space="preserve"> 90 day Program </w:t>
            </w:r>
          </w:p>
        </w:tc>
        <w:tc>
          <w:tcPr>
            <w:tcW w:w="630" w:type="dxa"/>
          </w:tcPr>
          <w:p w:rsidR="00EC44A1" w:rsidRPr="00EC44A1" w:rsidRDefault="00EC44A1" w:rsidP="00EC44A1">
            <w:pPr>
              <w:jc w:val="right"/>
              <w:rPr>
                <w:rFonts w:eastAsia="Calibri" w:cs="Arial"/>
              </w:rPr>
            </w:pPr>
            <w:r w:rsidRPr="00EC44A1">
              <w:rPr>
                <w:rFonts w:eastAsia="Calibri" w:cs="Arial"/>
              </w:rPr>
              <w:t>22.3</w:t>
            </w:r>
          </w:p>
        </w:tc>
      </w:tr>
      <w:tr w:rsidR="00EC44A1" w:rsidRPr="00EC44A1" w:rsidTr="002A451F">
        <w:tc>
          <w:tcPr>
            <w:tcW w:w="804" w:type="dxa"/>
          </w:tcPr>
          <w:p w:rsidR="00EC44A1" w:rsidRPr="00EC44A1" w:rsidRDefault="00EC44A1" w:rsidP="00EC44A1">
            <w:pPr>
              <w:jc w:val="center"/>
              <w:rPr>
                <w:rFonts w:eastAsia="Calibri" w:cs="Arial"/>
              </w:rPr>
            </w:pPr>
            <w:r w:rsidRPr="00EC44A1">
              <w:rPr>
                <w:rFonts w:eastAsia="Calibri" w:cs="Arial"/>
              </w:rPr>
              <w:t>9</w:t>
            </w:r>
          </w:p>
        </w:tc>
        <w:tc>
          <w:tcPr>
            <w:tcW w:w="3658" w:type="dxa"/>
          </w:tcPr>
          <w:p w:rsidR="00EC44A1" w:rsidRPr="00EC44A1" w:rsidRDefault="00EC44A1" w:rsidP="00EC44A1">
            <w:pPr>
              <w:rPr>
                <w:rFonts w:eastAsia="Calibri" w:cs="Arial"/>
              </w:rPr>
            </w:pPr>
            <w:r w:rsidRPr="00EC44A1">
              <w:rPr>
                <w:rFonts w:eastAsia="Calibri" w:cs="Arial"/>
              </w:rPr>
              <w:t>Program Refusals (Day 1)</w:t>
            </w:r>
          </w:p>
        </w:tc>
        <w:tc>
          <w:tcPr>
            <w:tcW w:w="630" w:type="dxa"/>
          </w:tcPr>
          <w:p w:rsidR="00EC44A1" w:rsidRPr="00EC44A1" w:rsidRDefault="00EC44A1" w:rsidP="00EC44A1">
            <w:pPr>
              <w:jc w:val="right"/>
              <w:rPr>
                <w:rFonts w:eastAsia="Calibri" w:cs="Arial"/>
              </w:rPr>
            </w:pPr>
            <w:r w:rsidRPr="00EC44A1">
              <w:rPr>
                <w:rFonts w:eastAsia="Calibri" w:cs="Arial"/>
              </w:rPr>
              <w:t>33.3</w:t>
            </w:r>
          </w:p>
        </w:tc>
      </w:tr>
      <w:tr w:rsidR="00EC44A1" w:rsidRPr="00EC44A1" w:rsidTr="002A451F">
        <w:tc>
          <w:tcPr>
            <w:tcW w:w="804" w:type="dxa"/>
          </w:tcPr>
          <w:p w:rsidR="00EC44A1" w:rsidRPr="00EC44A1" w:rsidRDefault="00EC44A1" w:rsidP="00EC44A1">
            <w:pPr>
              <w:jc w:val="center"/>
              <w:rPr>
                <w:rFonts w:eastAsia="Calibri" w:cs="Arial"/>
              </w:rPr>
            </w:pPr>
            <w:r w:rsidRPr="00EC44A1">
              <w:rPr>
                <w:rFonts w:eastAsia="Calibri" w:cs="Arial"/>
              </w:rPr>
              <w:lastRenderedPageBreak/>
              <w:t>12</w:t>
            </w:r>
          </w:p>
        </w:tc>
        <w:tc>
          <w:tcPr>
            <w:tcW w:w="3658" w:type="dxa"/>
          </w:tcPr>
          <w:p w:rsidR="00EC44A1" w:rsidRPr="00EC44A1" w:rsidRDefault="00EC44A1" w:rsidP="00EC44A1">
            <w:pPr>
              <w:rPr>
                <w:rFonts w:eastAsia="Calibri" w:cs="Arial"/>
              </w:rPr>
            </w:pPr>
            <w:r w:rsidRPr="00EC44A1">
              <w:rPr>
                <w:rFonts w:eastAsia="Calibri" w:cs="Arial"/>
              </w:rPr>
              <w:t xml:space="preserve">Incompletes (families dropped out of the program prior to completion, Days 2 – 89) </w:t>
            </w:r>
          </w:p>
        </w:tc>
        <w:tc>
          <w:tcPr>
            <w:tcW w:w="630" w:type="dxa"/>
          </w:tcPr>
          <w:p w:rsidR="00EC44A1" w:rsidRPr="00EC44A1" w:rsidRDefault="00EC44A1" w:rsidP="00EC44A1">
            <w:pPr>
              <w:jc w:val="right"/>
              <w:rPr>
                <w:rFonts w:eastAsia="Calibri" w:cs="Arial"/>
              </w:rPr>
            </w:pPr>
            <w:r w:rsidRPr="00EC44A1">
              <w:rPr>
                <w:rFonts w:eastAsia="Calibri" w:cs="Arial"/>
              </w:rPr>
              <w:t>44.4</w:t>
            </w:r>
          </w:p>
        </w:tc>
      </w:tr>
    </w:tbl>
    <w:p w:rsidR="00EC44A1" w:rsidRPr="00EC44A1" w:rsidRDefault="00EC44A1" w:rsidP="00EC44A1">
      <w:pPr>
        <w:spacing w:after="0" w:line="240" w:lineRule="auto"/>
        <w:rPr>
          <w:rFonts w:eastAsia="Calibri" w:cs="Arial"/>
        </w:rPr>
      </w:pPr>
    </w:p>
    <w:p w:rsidR="00790621" w:rsidRDefault="003C69D6" w:rsidP="00790621">
      <w:pPr>
        <w:spacing w:after="0" w:line="240" w:lineRule="auto"/>
        <w:rPr>
          <w:rFonts w:eastAsia="Calibri" w:cs="Arial"/>
        </w:rPr>
      </w:pPr>
      <w:r>
        <w:rPr>
          <w:rFonts w:eastAsia="Calibri" w:cs="Arial"/>
        </w:rPr>
        <w:t>S</w:t>
      </w:r>
      <w:r w:rsidR="00EC44A1" w:rsidRPr="00EC44A1">
        <w:rPr>
          <w:rFonts w:eastAsia="Calibri" w:cs="Arial"/>
        </w:rPr>
        <w:t xml:space="preserve">ix (6) families received the full 90 days of </w:t>
      </w:r>
      <w:r>
        <w:rPr>
          <w:rFonts w:eastAsia="Calibri" w:cs="Arial"/>
        </w:rPr>
        <w:t>SFSP</w:t>
      </w:r>
      <w:r w:rsidR="00113C9D">
        <w:rPr>
          <w:rFonts w:eastAsia="Calibri" w:cs="Arial"/>
        </w:rPr>
        <w:t xml:space="preserve"> assessment </w:t>
      </w:r>
      <w:r w:rsidR="00EC44A1" w:rsidRPr="00EC44A1">
        <w:rPr>
          <w:rFonts w:eastAsia="Calibri" w:cs="Arial"/>
        </w:rPr>
        <w:t xml:space="preserve">services.  </w:t>
      </w:r>
      <w:r w:rsidR="00790621" w:rsidRPr="00EC44A1">
        <w:rPr>
          <w:rFonts w:eastAsia="Calibri" w:cs="Arial"/>
        </w:rPr>
        <w:t>In accordance with the interagency agreement, one family was assigned to DCFS for community follow-up due to the youth’s post-adopt</w:t>
      </w:r>
      <w:r w:rsidR="00790621">
        <w:rPr>
          <w:rFonts w:eastAsia="Calibri" w:cs="Arial"/>
        </w:rPr>
        <w:t>ion</w:t>
      </w:r>
      <w:r w:rsidR="00790621" w:rsidRPr="00EC44A1">
        <w:rPr>
          <w:rFonts w:eastAsia="Calibri" w:cs="Arial"/>
        </w:rPr>
        <w:t xml:space="preserve"> status, and the remaining five (5) were assign</w:t>
      </w:r>
      <w:r w:rsidR="00790621">
        <w:rPr>
          <w:rFonts w:eastAsia="Calibri" w:cs="Arial"/>
        </w:rPr>
        <w:t>ed to HFS for on</w:t>
      </w:r>
      <w:r w:rsidR="00790621" w:rsidRPr="00EC44A1">
        <w:rPr>
          <w:rFonts w:eastAsia="Calibri" w:cs="Arial"/>
        </w:rPr>
        <w:t xml:space="preserve">going community services. </w:t>
      </w:r>
      <w:r w:rsidR="00790621">
        <w:rPr>
          <w:rFonts w:eastAsia="Calibri" w:cs="Arial"/>
        </w:rPr>
        <w:t xml:space="preserve"> The family assigned to DCFS for follow-up remained intact, with community and post-adoption</w:t>
      </w:r>
      <w:r w:rsidR="00113C9D">
        <w:rPr>
          <w:rFonts w:eastAsia="Calibri" w:cs="Arial"/>
        </w:rPr>
        <w:t xml:space="preserve"> </w:t>
      </w:r>
      <w:r>
        <w:rPr>
          <w:rFonts w:eastAsia="Calibri" w:cs="Arial"/>
        </w:rPr>
        <w:t>services and supports</w:t>
      </w:r>
      <w:r w:rsidR="00790621">
        <w:rPr>
          <w:rFonts w:eastAsia="Calibri" w:cs="Arial"/>
        </w:rPr>
        <w:t>.  The process was guided by a DCFS Behavioral Health Specialist and continued from June</w:t>
      </w:r>
      <w:r w:rsidR="00113C9D">
        <w:rPr>
          <w:rFonts w:eastAsia="Calibri" w:cs="Arial"/>
        </w:rPr>
        <w:t xml:space="preserve"> 2017</w:t>
      </w:r>
      <w:r w:rsidR="00790621">
        <w:rPr>
          <w:rFonts w:eastAsia="Calibri" w:cs="Arial"/>
        </w:rPr>
        <w:t xml:space="preserve"> through October 2017.  </w:t>
      </w:r>
    </w:p>
    <w:p w:rsidR="002A11EE" w:rsidRDefault="002A11EE" w:rsidP="00790621">
      <w:pPr>
        <w:spacing w:after="0" w:line="240" w:lineRule="auto"/>
        <w:rPr>
          <w:rFonts w:eastAsia="Calibri" w:cs="Arial"/>
        </w:rPr>
      </w:pPr>
    </w:p>
    <w:p w:rsidR="00790621" w:rsidRDefault="00790621" w:rsidP="00790621">
      <w:pPr>
        <w:spacing w:after="0" w:line="240" w:lineRule="auto"/>
        <w:rPr>
          <w:rFonts w:eastAsia="Calibri" w:cs="Arial"/>
        </w:rPr>
      </w:pPr>
      <w:r>
        <w:rPr>
          <w:rFonts w:eastAsia="Calibri" w:cs="Arial"/>
        </w:rPr>
        <w:t xml:space="preserve">The ICT continues to meet to </w:t>
      </w:r>
      <w:r w:rsidR="002A11EE">
        <w:rPr>
          <w:rFonts w:eastAsia="Calibri" w:cs="Arial"/>
        </w:rPr>
        <w:t xml:space="preserve">assess the program and make </w:t>
      </w:r>
      <w:r>
        <w:rPr>
          <w:rFonts w:eastAsia="Calibri" w:cs="Arial"/>
        </w:rPr>
        <w:t>necessary adjustm</w:t>
      </w:r>
      <w:r w:rsidR="002A11EE">
        <w:rPr>
          <w:rFonts w:eastAsia="Calibri" w:cs="Arial"/>
        </w:rPr>
        <w:t xml:space="preserve">ents.  Training stakeholders </w:t>
      </w:r>
      <w:r w:rsidR="00113C9D">
        <w:rPr>
          <w:rFonts w:eastAsia="Calibri" w:cs="Arial"/>
        </w:rPr>
        <w:t>remain</w:t>
      </w:r>
      <w:r w:rsidR="002A11EE">
        <w:rPr>
          <w:rFonts w:eastAsia="Calibri" w:cs="Arial"/>
        </w:rPr>
        <w:t>s</w:t>
      </w:r>
      <w:r w:rsidR="00113C9D">
        <w:rPr>
          <w:rFonts w:eastAsia="Calibri" w:cs="Arial"/>
        </w:rPr>
        <w:t xml:space="preserve"> a priority</w:t>
      </w:r>
      <w:r>
        <w:rPr>
          <w:rFonts w:eastAsia="Calibri" w:cs="Arial"/>
        </w:rPr>
        <w:t xml:space="preserve"> this next fiscal year to ensure all families eligible for the intervention will have the op</w:t>
      </w:r>
      <w:r w:rsidR="00113C9D">
        <w:rPr>
          <w:rFonts w:eastAsia="Calibri" w:cs="Arial"/>
        </w:rPr>
        <w:t>portunity to participate in the assessment</w:t>
      </w:r>
      <w:r>
        <w:rPr>
          <w:rFonts w:eastAsia="Calibri" w:cs="Arial"/>
        </w:rPr>
        <w:t xml:space="preserve"> program.</w:t>
      </w:r>
    </w:p>
    <w:p w:rsidR="00EC44A1" w:rsidRDefault="00EC44A1" w:rsidP="00DD1EDF">
      <w:pPr>
        <w:jc w:val="both"/>
      </w:pPr>
    </w:p>
    <w:sectPr w:rsidR="00EC44A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687" w:rsidRDefault="00E67687" w:rsidP="009833FA">
      <w:pPr>
        <w:spacing w:after="0" w:line="240" w:lineRule="auto"/>
      </w:pPr>
      <w:r>
        <w:separator/>
      </w:r>
    </w:p>
  </w:endnote>
  <w:endnote w:type="continuationSeparator" w:id="0">
    <w:p w:rsidR="00E67687" w:rsidRDefault="00E67687" w:rsidP="0098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318038"/>
      <w:docPartObj>
        <w:docPartGallery w:val="Page Numbers (Bottom of Page)"/>
        <w:docPartUnique/>
      </w:docPartObj>
    </w:sdtPr>
    <w:sdtEndPr>
      <w:rPr>
        <w:noProof/>
      </w:rPr>
    </w:sdtEndPr>
    <w:sdtContent>
      <w:p w:rsidR="009833FA" w:rsidRDefault="009833FA">
        <w:pPr>
          <w:pStyle w:val="Footer"/>
          <w:jc w:val="right"/>
        </w:pPr>
        <w:r>
          <w:fldChar w:fldCharType="begin"/>
        </w:r>
        <w:r>
          <w:instrText xml:space="preserve"> PAGE   \* MERGEFORMAT </w:instrText>
        </w:r>
        <w:r>
          <w:fldChar w:fldCharType="separate"/>
        </w:r>
        <w:r w:rsidR="001C4544">
          <w:rPr>
            <w:noProof/>
          </w:rPr>
          <w:t>1</w:t>
        </w:r>
        <w:r>
          <w:rPr>
            <w:noProof/>
          </w:rPr>
          <w:fldChar w:fldCharType="end"/>
        </w:r>
      </w:p>
    </w:sdtContent>
  </w:sdt>
  <w:p w:rsidR="009833FA" w:rsidRDefault="00983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687" w:rsidRDefault="00E67687" w:rsidP="009833FA">
      <w:pPr>
        <w:spacing w:after="0" w:line="240" w:lineRule="auto"/>
      </w:pPr>
      <w:r>
        <w:separator/>
      </w:r>
    </w:p>
  </w:footnote>
  <w:footnote w:type="continuationSeparator" w:id="0">
    <w:p w:rsidR="00E67687" w:rsidRDefault="00E67687" w:rsidP="00983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3DDE"/>
    <w:multiLevelType w:val="hybridMultilevel"/>
    <w:tmpl w:val="5AF0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EDF"/>
    <w:rsid w:val="000F4D1F"/>
    <w:rsid w:val="00113C9D"/>
    <w:rsid w:val="0018193B"/>
    <w:rsid w:val="001C0195"/>
    <w:rsid w:val="001C4544"/>
    <w:rsid w:val="00284E35"/>
    <w:rsid w:val="002A11EE"/>
    <w:rsid w:val="002E50FD"/>
    <w:rsid w:val="00306869"/>
    <w:rsid w:val="003C69D6"/>
    <w:rsid w:val="00422E26"/>
    <w:rsid w:val="005028C2"/>
    <w:rsid w:val="00545408"/>
    <w:rsid w:val="005A00C2"/>
    <w:rsid w:val="006B7D8E"/>
    <w:rsid w:val="0078089B"/>
    <w:rsid w:val="00790621"/>
    <w:rsid w:val="0082529A"/>
    <w:rsid w:val="008740BF"/>
    <w:rsid w:val="00937830"/>
    <w:rsid w:val="009833FA"/>
    <w:rsid w:val="00AE5D49"/>
    <w:rsid w:val="00D41205"/>
    <w:rsid w:val="00DC0460"/>
    <w:rsid w:val="00DD1EDF"/>
    <w:rsid w:val="00E67687"/>
    <w:rsid w:val="00E90601"/>
    <w:rsid w:val="00EC44A1"/>
    <w:rsid w:val="00F7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7830"/>
    <w:rPr>
      <w:sz w:val="16"/>
      <w:szCs w:val="16"/>
    </w:rPr>
  </w:style>
  <w:style w:type="paragraph" w:styleId="CommentText">
    <w:name w:val="annotation text"/>
    <w:basedOn w:val="Normal"/>
    <w:link w:val="CommentTextChar"/>
    <w:uiPriority w:val="99"/>
    <w:semiHidden/>
    <w:unhideWhenUsed/>
    <w:rsid w:val="00937830"/>
    <w:pPr>
      <w:spacing w:line="240" w:lineRule="auto"/>
    </w:pPr>
    <w:rPr>
      <w:sz w:val="20"/>
      <w:szCs w:val="20"/>
    </w:rPr>
  </w:style>
  <w:style w:type="character" w:customStyle="1" w:styleId="CommentTextChar">
    <w:name w:val="Comment Text Char"/>
    <w:basedOn w:val="DefaultParagraphFont"/>
    <w:link w:val="CommentText"/>
    <w:uiPriority w:val="99"/>
    <w:semiHidden/>
    <w:rsid w:val="00937830"/>
    <w:rPr>
      <w:sz w:val="20"/>
      <w:szCs w:val="20"/>
    </w:rPr>
  </w:style>
  <w:style w:type="paragraph" w:styleId="CommentSubject">
    <w:name w:val="annotation subject"/>
    <w:basedOn w:val="CommentText"/>
    <w:next w:val="CommentText"/>
    <w:link w:val="CommentSubjectChar"/>
    <w:uiPriority w:val="99"/>
    <w:semiHidden/>
    <w:unhideWhenUsed/>
    <w:rsid w:val="00937830"/>
    <w:rPr>
      <w:b/>
      <w:bCs/>
    </w:rPr>
  </w:style>
  <w:style w:type="character" w:customStyle="1" w:styleId="CommentSubjectChar">
    <w:name w:val="Comment Subject Char"/>
    <w:basedOn w:val="CommentTextChar"/>
    <w:link w:val="CommentSubject"/>
    <w:uiPriority w:val="99"/>
    <w:semiHidden/>
    <w:rsid w:val="00937830"/>
    <w:rPr>
      <w:b/>
      <w:bCs/>
      <w:sz w:val="20"/>
      <w:szCs w:val="20"/>
    </w:rPr>
  </w:style>
  <w:style w:type="paragraph" w:styleId="BalloonText">
    <w:name w:val="Balloon Text"/>
    <w:basedOn w:val="Normal"/>
    <w:link w:val="BalloonTextChar"/>
    <w:uiPriority w:val="99"/>
    <w:semiHidden/>
    <w:unhideWhenUsed/>
    <w:rsid w:val="00937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830"/>
    <w:rPr>
      <w:rFonts w:ascii="Segoe UI" w:hAnsi="Segoe UI" w:cs="Segoe UI"/>
      <w:sz w:val="18"/>
      <w:szCs w:val="18"/>
    </w:rPr>
  </w:style>
  <w:style w:type="paragraph" w:styleId="ListParagraph">
    <w:name w:val="List Paragraph"/>
    <w:basedOn w:val="Normal"/>
    <w:uiPriority w:val="34"/>
    <w:qFormat/>
    <w:rsid w:val="003C69D6"/>
    <w:pPr>
      <w:ind w:left="720"/>
      <w:contextualSpacing/>
    </w:pPr>
  </w:style>
  <w:style w:type="paragraph" w:styleId="Header">
    <w:name w:val="header"/>
    <w:basedOn w:val="Normal"/>
    <w:link w:val="HeaderChar"/>
    <w:uiPriority w:val="99"/>
    <w:unhideWhenUsed/>
    <w:rsid w:val="00983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3FA"/>
  </w:style>
  <w:style w:type="paragraph" w:styleId="Footer">
    <w:name w:val="footer"/>
    <w:basedOn w:val="Normal"/>
    <w:link w:val="FooterChar"/>
    <w:uiPriority w:val="99"/>
    <w:unhideWhenUsed/>
    <w:rsid w:val="00983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3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7830"/>
    <w:rPr>
      <w:sz w:val="16"/>
      <w:szCs w:val="16"/>
    </w:rPr>
  </w:style>
  <w:style w:type="paragraph" w:styleId="CommentText">
    <w:name w:val="annotation text"/>
    <w:basedOn w:val="Normal"/>
    <w:link w:val="CommentTextChar"/>
    <w:uiPriority w:val="99"/>
    <w:semiHidden/>
    <w:unhideWhenUsed/>
    <w:rsid w:val="00937830"/>
    <w:pPr>
      <w:spacing w:line="240" w:lineRule="auto"/>
    </w:pPr>
    <w:rPr>
      <w:sz w:val="20"/>
      <w:szCs w:val="20"/>
    </w:rPr>
  </w:style>
  <w:style w:type="character" w:customStyle="1" w:styleId="CommentTextChar">
    <w:name w:val="Comment Text Char"/>
    <w:basedOn w:val="DefaultParagraphFont"/>
    <w:link w:val="CommentText"/>
    <w:uiPriority w:val="99"/>
    <w:semiHidden/>
    <w:rsid w:val="00937830"/>
    <w:rPr>
      <w:sz w:val="20"/>
      <w:szCs w:val="20"/>
    </w:rPr>
  </w:style>
  <w:style w:type="paragraph" w:styleId="CommentSubject">
    <w:name w:val="annotation subject"/>
    <w:basedOn w:val="CommentText"/>
    <w:next w:val="CommentText"/>
    <w:link w:val="CommentSubjectChar"/>
    <w:uiPriority w:val="99"/>
    <w:semiHidden/>
    <w:unhideWhenUsed/>
    <w:rsid w:val="00937830"/>
    <w:rPr>
      <w:b/>
      <w:bCs/>
    </w:rPr>
  </w:style>
  <w:style w:type="character" w:customStyle="1" w:styleId="CommentSubjectChar">
    <w:name w:val="Comment Subject Char"/>
    <w:basedOn w:val="CommentTextChar"/>
    <w:link w:val="CommentSubject"/>
    <w:uiPriority w:val="99"/>
    <w:semiHidden/>
    <w:rsid w:val="00937830"/>
    <w:rPr>
      <w:b/>
      <w:bCs/>
      <w:sz w:val="20"/>
      <w:szCs w:val="20"/>
    </w:rPr>
  </w:style>
  <w:style w:type="paragraph" w:styleId="BalloonText">
    <w:name w:val="Balloon Text"/>
    <w:basedOn w:val="Normal"/>
    <w:link w:val="BalloonTextChar"/>
    <w:uiPriority w:val="99"/>
    <w:semiHidden/>
    <w:unhideWhenUsed/>
    <w:rsid w:val="00937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830"/>
    <w:rPr>
      <w:rFonts w:ascii="Segoe UI" w:hAnsi="Segoe UI" w:cs="Segoe UI"/>
      <w:sz w:val="18"/>
      <w:szCs w:val="18"/>
    </w:rPr>
  </w:style>
  <w:style w:type="paragraph" w:styleId="ListParagraph">
    <w:name w:val="List Paragraph"/>
    <w:basedOn w:val="Normal"/>
    <w:uiPriority w:val="34"/>
    <w:qFormat/>
    <w:rsid w:val="003C69D6"/>
    <w:pPr>
      <w:ind w:left="720"/>
      <w:contextualSpacing/>
    </w:pPr>
  </w:style>
  <w:style w:type="paragraph" w:styleId="Header">
    <w:name w:val="header"/>
    <w:basedOn w:val="Normal"/>
    <w:link w:val="HeaderChar"/>
    <w:uiPriority w:val="99"/>
    <w:unhideWhenUsed/>
    <w:rsid w:val="00983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3FA"/>
  </w:style>
  <w:style w:type="paragraph" w:styleId="Footer">
    <w:name w:val="footer"/>
    <w:basedOn w:val="Normal"/>
    <w:link w:val="FooterChar"/>
    <w:uiPriority w:val="99"/>
    <w:unhideWhenUsed/>
    <w:rsid w:val="00983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DCFS</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Harms-Pavelski, Nora</dc:creator>
  <cp:lastModifiedBy>Koziol, Alexa</cp:lastModifiedBy>
  <cp:revision>2</cp:revision>
  <dcterms:created xsi:type="dcterms:W3CDTF">2019-01-22T16:25:00Z</dcterms:created>
  <dcterms:modified xsi:type="dcterms:W3CDTF">2019-01-22T16:25:00Z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2005771913</vt:i4>
  </property>
  <property fmtid="{D5CDD505-2E9C-101B-9397-08002B2CF9AE}" pid="3" name="_NewReviewCycle">
    <vt:lpwstr/>
  </property>
  <property fmtid="{D5CDD505-2E9C-101B-9397-08002B2CF9AE}" pid="4" name="_EmailSubject">
    <vt:lpwstr>DCFS Report</vt:lpwstr>
  </property>
  <property fmtid="{D5CDD505-2E9C-101B-9397-08002B2CF9AE}" pid="5" name="_AuthorEmail">
    <vt:lpwstr>Alexa.Koziol@illinois.gov</vt:lpwstr>
  </property>
  <property fmtid="{D5CDD505-2E9C-101B-9397-08002B2CF9AE}" pid="6" name="_AuthorEmailDisplayName">
    <vt:lpwstr>Koziol, Alexa</vt:lpwstr>
  </property>
  <property fmtid="{D5CDD505-2E9C-101B-9397-08002B2CF9AE}" pid="7" name="_PreviousAdHocReviewCycleID">
    <vt:i4>-601016424</vt:i4>
  </property>
</Properties>
</file>