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9EDF8" w14:textId="77777777" w:rsidR="0005573D" w:rsidRDefault="0005573D">
      <w:pPr>
        <w:rPr>
          <w:rFonts w:ascii="Arial" w:hAnsi="Arial" w:cs="Arial"/>
        </w:rPr>
      </w:pPr>
    </w:p>
    <w:p w14:paraId="0889EDF9" w14:textId="77777777" w:rsidR="0005573D" w:rsidRDefault="0005573D">
      <w:pPr>
        <w:rPr>
          <w:rFonts w:ascii="Arial" w:hAnsi="Arial" w:cs="Arial"/>
        </w:rPr>
      </w:pPr>
    </w:p>
    <w:p w14:paraId="0889EDFA" w14:textId="77777777" w:rsidR="0005573D" w:rsidRDefault="0005573D">
      <w:pPr>
        <w:rPr>
          <w:rFonts w:ascii="Arial" w:hAnsi="Arial" w:cs="Arial"/>
        </w:rPr>
      </w:pPr>
    </w:p>
    <w:p w14:paraId="0889EDFB" w14:textId="77777777" w:rsidR="0005573D" w:rsidRDefault="0005573D">
      <w:pPr>
        <w:rPr>
          <w:rFonts w:ascii="Arial" w:hAnsi="Arial" w:cs="Arial"/>
        </w:rPr>
      </w:pPr>
    </w:p>
    <w:p w14:paraId="0889EDFC" w14:textId="77777777" w:rsidR="0005573D" w:rsidRDefault="0005573D">
      <w:pPr>
        <w:rPr>
          <w:rFonts w:ascii="Arial" w:hAnsi="Arial" w:cs="Arial"/>
        </w:rPr>
      </w:pPr>
    </w:p>
    <w:p w14:paraId="0889EDFD" w14:textId="77777777" w:rsidR="0005573D" w:rsidRDefault="0005573D">
      <w:pPr>
        <w:rPr>
          <w:rFonts w:ascii="Arial" w:hAnsi="Arial" w:cs="Arial"/>
        </w:rPr>
      </w:pPr>
    </w:p>
    <w:p w14:paraId="0889EDFE" w14:textId="77777777" w:rsidR="0005573D" w:rsidRDefault="0005573D">
      <w:pPr>
        <w:rPr>
          <w:rFonts w:ascii="Arial" w:hAnsi="Arial" w:cs="Arial"/>
        </w:rPr>
      </w:pPr>
    </w:p>
    <w:p w14:paraId="0889EDFF" w14:textId="77777777" w:rsidR="0005573D" w:rsidRDefault="0005573D">
      <w:pPr>
        <w:jc w:val="center"/>
        <w:rPr>
          <w:rFonts w:ascii="Arial" w:hAnsi="Arial" w:cs="Arial"/>
          <w:sz w:val="32"/>
        </w:rPr>
      </w:pPr>
      <w:r>
        <w:rPr>
          <w:rFonts w:ascii="Arial" w:hAnsi="Arial" w:cs="Arial"/>
          <w:sz w:val="32"/>
        </w:rPr>
        <w:t>Report to the Illinois General Assembly:</w:t>
      </w:r>
    </w:p>
    <w:p w14:paraId="0889EE00" w14:textId="77777777" w:rsidR="0005573D" w:rsidRDefault="0005573D">
      <w:pPr>
        <w:jc w:val="center"/>
        <w:rPr>
          <w:rFonts w:ascii="Arial" w:hAnsi="Arial" w:cs="Arial"/>
          <w:sz w:val="32"/>
        </w:rPr>
      </w:pPr>
      <w:r>
        <w:rPr>
          <w:rFonts w:ascii="Arial" w:hAnsi="Arial" w:cs="Arial"/>
          <w:sz w:val="32"/>
        </w:rPr>
        <w:t>Annual Report for the Good Samaritan Energy Trust Fund,</w:t>
      </w:r>
    </w:p>
    <w:p w14:paraId="0889EE01" w14:textId="3EDF79D8" w:rsidR="0005573D" w:rsidRDefault="0005573D">
      <w:pPr>
        <w:jc w:val="center"/>
        <w:rPr>
          <w:rFonts w:ascii="Arial" w:hAnsi="Arial" w:cs="Arial"/>
          <w:sz w:val="32"/>
        </w:rPr>
      </w:pPr>
      <w:r>
        <w:rPr>
          <w:rFonts w:ascii="Arial" w:hAnsi="Arial" w:cs="Arial"/>
          <w:sz w:val="32"/>
        </w:rPr>
        <w:t>May 20</w:t>
      </w:r>
      <w:r w:rsidR="00617D36">
        <w:rPr>
          <w:rFonts w:ascii="Arial" w:hAnsi="Arial" w:cs="Arial"/>
          <w:sz w:val="32"/>
        </w:rPr>
        <w:t>20</w:t>
      </w:r>
    </w:p>
    <w:p w14:paraId="0F0EDD8B" w14:textId="77777777" w:rsidR="00A171DB" w:rsidRDefault="00A171DB">
      <w:pPr>
        <w:jc w:val="center"/>
        <w:rPr>
          <w:rFonts w:ascii="Arial" w:hAnsi="Arial" w:cs="Arial"/>
          <w:sz w:val="32"/>
        </w:rPr>
      </w:pPr>
    </w:p>
    <w:p w14:paraId="0889EE02" w14:textId="77777777" w:rsidR="00AE3194" w:rsidRDefault="00AE3194" w:rsidP="00AE3194">
      <w:pPr>
        <w:rPr>
          <w:rFonts w:ascii="Arial" w:hAnsi="Arial" w:cs="Arial"/>
          <w:sz w:val="32"/>
        </w:rPr>
      </w:pPr>
    </w:p>
    <w:p w14:paraId="0889EE03" w14:textId="77777777" w:rsidR="0005573D" w:rsidRDefault="0005573D">
      <w:pPr>
        <w:jc w:val="center"/>
        <w:rPr>
          <w:rFonts w:ascii="Arial" w:hAnsi="Arial" w:cs="Arial"/>
          <w:sz w:val="28"/>
        </w:rPr>
      </w:pPr>
    </w:p>
    <w:p w14:paraId="0889EE04" w14:textId="77777777" w:rsidR="0005573D" w:rsidRDefault="0005573D">
      <w:pPr>
        <w:jc w:val="center"/>
        <w:rPr>
          <w:rFonts w:ascii="Arial" w:hAnsi="Arial" w:cs="Arial"/>
          <w:sz w:val="28"/>
        </w:rPr>
      </w:pPr>
    </w:p>
    <w:p w14:paraId="0889EE05" w14:textId="77777777" w:rsidR="0005573D" w:rsidRDefault="0005573D">
      <w:pPr>
        <w:jc w:val="center"/>
        <w:rPr>
          <w:rFonts w:ascii="Arial" w:hAnsi="Arial" w:cs="Arial"/>
          <w:sz w:val="28"/>
        </w:rPr>
      </w:pPr>
    </w:p>
    <w:p w14:paraId="0889EE06" w14:textId="77777777" w:rsidR="0005573D" w:rsidRDefault="0005573D">
      <w:pPr>
        <w:jc w:val="center"/>
        <w:rPr>
          <w:rFonts w:ascii="Arial" w:hAnsi="Arial" w:cs="Arial"/>
          <w:sz w:val="28"/>
        </w:rPr>
      </w:pPr>
    </w:p>
    <w:p w14:paraId="0889EE07" w14:textId="77777777" w:rsidR="0005573D" w:rsidRDefault="0005573D">
      <w:pPr>
        <w:jc w:val="center"/>
        <w:rPr>
          <w:rFonts w:ascii="Arial" w:hAnsi="Arial" w:cs="Arial"/>
          <w:sz w:val="28"/>
        </w:rPr>
      </w:pPr>
    </w:p>
    <w:p w14:paraId="0889EE08" w14:textId="77777777" w:rsidR="0005573D" w:rsidRDefault="0005573D">
      <w:pPr>
        <w:jc w:val="center"/>
        <w:rPr>
          <w:rFonts w:ascii="Arial" w:hAnsi="Arial" w:cs="Arial"/>
          <w:sz w:val="28"/>
        </w:rPr>
      </w:pPr>
    </w:p>
    <w:p w14:paraId="0889EE09" w14:textId="77777777" w:rsidR="0005573D" w:rsidRDefault="0005573D">
      <w:pPr>
        <w:jc w:val="center"/>
        <w:rPr>
          <w:rFonts w:ascii="Arial" w:hAnsi="Arial" w:cs="Arial"/>
          <w:sz w:val="28"/>
        </w:rPr>
      </w:pPr>
    </w:p>
    <w:p w14:paraId="0889EE0A" w14:textId="77777777" w:rsidR="0005573D" w:rsidRDefault="0005573D">
      <w:pPr>
        <w:jc w:val="center"/>
        <w:rPr>
          <w:rFonts w:ascii="Arial" w:hAnsi="Arial" w:cs="Arial"/>
          <w:sz w:val="28"/>
        </w:rPr>
      </w:pPr>
    </w:p>
    <w:p w14:paraId="0889EE0B" w14:textId="77777777" w:rsidR="0005573D" w:rsidRDefault="0005573D">
      <w:pPr>
        <w:jc w:val="center"/>
        <w:rPr>
          <w:rFonts w:ascii="Arial" w:hAnsi="Arial" w:cs="Arial"/>
          <w:sz w:val="28"/>
        </w:rPr>
      </w:pPr>
    </w:p>
    <w:p w14:paraId="0889EE0C" w14:textId="77777777" w:rsidR="0005573D" w:rsidRDefault="0005573D">
      <w:pPr>
        <w:jc w:val="center"/>
        <w:rPr>
          <w:rFonts w:ascii="Arial" w:hAnsi="Arial" w:cs="Arial"/>
          <w:sz w:val="28"/>
        </w:rPr>
      </w:pPr>
    </w:p>
    <w:p w14:paraId="0889EE0D" w14:textId="77777777" w:rsidR="0005573D" w:rsidRDefault="0005573D">
      <w:pPr>
        <w:jc w:val="center"/>
        <w:rPr>
          <w:rFonts w:ascii="Arial" w:hAnsi="Arial" w:cs="Arial"/>
          <w:sz w:val="28"/>
        </w:rPr>
      </w:pPr>
    </w:p>
    <w:p w14:paraId="0889EE0E" w14:textId="77777777" w:rsidR="0005573D" w:rsidRDefault="0005573D">
      <w:pPr>
        <w:jc w:val="center"/>
        <w:rPr>
          <w:rFonts w:ascii="Arial" w:hAnsi="Arial" w:cs="Arial"/>
          <w:sz w:val="28"/>
        </w:rPr>
      </w:pPr>
    </w:p>
    <w:p w14:paraId="0889EE0F" w14:textId="77777777" w:rsidR="0005573D" w:rsidRDefault="0005573D">
      <w:pPr>
        <w:jc w:val="center"/>
        <w:rPr>
          <w:rFonts w:ascii="Arial" w:hAnsi="Arial" w:cs="Arial"/>
          <w:sz w:val="28"/>
        </w:rPr>
      </w:pPr>
    </w:p>
    <w:p w14:paraId="0889EE10" w14:textId="77777777" w:rsidR="0005573D" w:rsidRDefault="0005573D">
      <w:pPr>
        <w:jc w:val="center"/>
        <w:rPr>
          <w:rFonts w:ascii="Arial" w:hAnsi="Arial" w:cs="Arial"/>
          <w:sz w:val="28"/>
        </w:rPr>
      </w:pPr>
    </w:p>
    <w:p w14:paraId="0889EE11" w14:textId="77777777" w:rsidR="0005573D" w:rsidRDefault="0005573D">
      <w:pPr>
        <w:jc w:val="center"/>
        <w:rPr>
          <w:rFonts w:ascii="Arial" w:hAnsi="Arial" w:cs="Arial"/>
          <w:sz w:val="28"/>
        </w:rPr>
      </w:pPr>
    </w:p>
    <w:p w14:paraId="0889EE12" w14:textId="77777777" w:rsidR="0005573D" w:rsidRDefault="0005573D">
      <w:pPr>
        <w:jc w:val="center"/>
        <w:rPr>
          <w:rFonts w:ascii="Arial" w:hAnsi="Arial" w:cs="Arial"/>
          <w:sz w:val="28"/>
        </w:rPr>
      </w:pPr>
    </w:p>
    <w:p w14:paraId="0889EE13" w14:textId="77777777" w:rsidR="0005573D" w:rsidRDefault="0005573D">
      <w:pPr>
        <w:jc w:val="center"/>
        <w:rPr>
          <w:rFonts w:ascii="Arial" w:hAnsi="Arial" w:cs="Arial"/>
          <w:sz w:val="28"/>
        </w:rPr>
      </w:pPr>
    </w:p>
    <w:p w14:paraId="0889EE14" w14:textId="77777777" w:rsidR="0005573D" w:rsidRDefault="0005573D">
      <w:pPr>
        <w:jc w:val="center"/>
        <w:rPr>
          <w:rFonts w:ascii="Arial" w:hAnsi="Arial" w:cs="Arial"/>
          <w:sz w:val="28"/>
        </w:rPr>
      </w:pPr>
    </w:p>
    <w:p w14:paraId="0889EE15" w14:textId="77777777" w:rsidR="0005573D" w:rsidRDefault="0005573D">
      <w:pPr>
        <w:jc w:val="center"/>
        <w:rPr>
          <w:rFonts w:ascii="Arial" w:hAnsi="Arial" w:cs="Arial"/>
          <w:sz w:val="28"/>
        </w:rPr>
      </w:pPr>
    </w:p>
    <w:p w14:paraId="0889EE16" w14:textId="77777777" w:rsidR="0005573D" w:rsidRDefault="0005573D">
      <w:pPr>
        <w:jc w:val="center"/>
        <w:rPr>
          <w:rFonts w:ascii="Arial" w:hAnsi="Arial" w:cs="Arial"/>
          <w:sz w:val="28"/>
        </w:rPr>
      </w:pPr>
    </w:p>
    <w:p w14:paraId="0889EE17" w14:textId="77777777" w:rsidR="0005573D" w:rsidRDefault="0005573D">
      <w:pPr>
        <w:jc w:val="center"/>
        <w:rPr>
          <w:rFonts w:ascii="Arial" w:hAnsi="Arial" w:cs="Arial"/>
          <w:sz w:val="28"/>
        </w:rPr>
      </w:pPr>
    </w:p>
    <w:p w14:paraId="0889EE18" w14:textId="77777777" w:rsidR="0005573D" w:rsidRDefault="0005573D">
      <w:pPr>
        <w:jc w:val="center"/>
        <w:rPr>
          <w:rFonts w:ascii="Arial" w:hAnsi="Arial" w:cs="Arial"/>
          <w:sz w:val="28"/>
        </w:rPr>
      </w:pPr>
    </w:p>
    <w:p w14:paraId="0889EE19" w14:textId="77777777" w:rsidR="002D71CD" w:rsidRDefault="0005573D" w:rsidP="002D71CD">
      <w:pPr>
        <w:jc w:val="center"/>
        <w:rPr>
          <w:rFonts w:ascii="Arial" w:hAnsi="Arial" w:cs="Arial"/>
          <w:sz w:val="32"/>
        </w:rPr>
      </w:pPr>
      <w:r>
        <w:rPr>
          <w:rFonts w:ascii="Arial" w:hAnsi="Arial" w:cs="Arial"/>
          <w:sz w:val="32"/>
        </w:rPr>
        <w:t xml:space="preserve">Prepared </w:t>
      </w:r>
      <w:r w:rsidR="002D71CD">
        <w:rPr>
          <w:rFonts w:ascii="Arial" w:hAnsi="Arial" w:cs="Arial"/>
          <w:sz w:val="32"/>
        </w:rPr>
        <w:t>b</w:t>
      </w:r>
      <w:r>
        <w:rPr>
          <w:rFonts w:ascii="Arial" w:hAnsi="Arial" w:cs="Arial"/>
          <w:sz w:val="32"/>
        </w:rPr>
        <w:t>y</w:t>
      </w:r>
      <w:r w:rsidR="002D71CD">
        <w:rPr>
          <w:rFonts w:ascii="Arial" w:hAnsi="Arial" w:cs="Arial"/>
          <w:sz w:val="32"/>
        </w:rPr>
        <w:t xml:space="preserve"> </w:t>
      </w:r>
      <w:r>
        <w:rPr>
          <w:rFonts w:ascii="Arial" w:hAnsi="Arial" w:cs="Arial"/>
          <w:sz w:val="32"/>
        </w:rPr>
        <w:t>the</w:t>
      </w:r>
      <w:r w:rsidR="002D71CD">
        <w:rPr>
          <w:rFonts w:ascii="Arial" w:hAnsi="Arial" w:cs="Arial"/>
          <w:sz w:val="32"/>
        </w:rPr>
        <w:t xml:space="preserve"> </w:t>
      </w:r>
      <w:r>
        <w:rPr>
          <w:rFonts w:ascii="Arial" w:hAnsi="Arial" w:cs="Arial"/>
          <w:sz w:val="32"/>
        </w:rPr>
        <w:t xml:space="preserve">Department of </w:t>
      </w:r>
      <w:r w:rsidR="00746449">
        <w:rPr>
          <w:rFonts w:ascii="Arial" w:hAnsi="Arial" w:cs="Arial"/>
          <w:sz w:val="32"/>
        </w:rPr>
        <w:t>Commerce</w:t>
      </w:r>
    </w:p>
    <w:p w14:paraId="0889EE1A" w14:textId="77777777" w:rsidR="0005573D" w:rsidRDefault="00746449" w:rsidP="002D71CD">
      <w:pPr>
        <w:jc w:val="center"/>
        <w:rPr>
          <w:rFonts w:ascii="Arial" w:hAnsi="Arial" w:cs="Arial"/>
          <w:sz w:val="32"/>
        </w:rPr>
      </w:pPr>
      <w:r>
        <w:rPr>
          <w:rFonts w:ascii="Arial" w:hAnsi="Arial" w:cs="Arial"/>
          <w:sz w:val="32"/>
        </w:rPr>
        <w:t>and Economic Opportunity</w:t>
      </w:r>
      <w:r w:rsidR="0005573D">
        <w:rPr>
          <w:rFonts w:ascii="Arial" w:hAnsi="Arial" w:cs="Arial"/>
          <w:sz w:val="32"/>
        </w:rPr>
        <w:t xml:space="preserve"> </w:t>
      </w:r>
    </w:p>
    <w:p w14:paraId="0889EE1B" w14:textId="77777777" w:rsidR="0005573D" w:rsidRDefault="0005573D">
      <w:pPr>
        <w:jc w:val="center"/>
        <w:rPr>
          <w:rFonts w:ascii="Arial" w:hAnsi="Arial" w:cs="Arial"/>
          <w:sz w:val="32"/>
        </w:rPr>
      </w:pPr>
    </w:p>
    <w:p w14:paraId="0889EE1C" w14:textId="77777777" w:rsidR="00CC4180" w:rsidRDefault="0005573D">
      <w:pPr>
        <w:jc w:val="center"/>
        <w:rPr>
          <w:rFonts w:ascii="Arial" w:hAnsi="Arial" w:cs="Arial"/>
        </w:rPr>
      </w:pPr>
      <w:r>
        <w:rPr>
          <w:rFonts w:ascii="Arial" w:hAnsi="Arial" w:cs="Arial"/>
        </w:rPr>
        <w:br w:type="page"/>
      </w:r>
    </w:p>
    <w:p w14:paraId="0889EE1D" w14:textId="77777777" w:rsidR="00CC4180" w:rsidRDefault="00CC4180">
      <w:pPr>
        <w:jc w:val="center"/>
        <w:rPr>
          <w:rFonts w:ascii="Arial" w:hAnsi="Arial" w:cs="Arial"/>
        </w:rPr>
      </w:pPr>
    </w:p>
    <w:p w14:paraId="0889EE1E" w14:textId="77777777" w:rsidR="0005573D" w:rsidRDefault="0005573D">
      <w:pPr>
        <w:jc w:val="center"/>
        <w:rPr>
          <w:rFonts w:ascii="Arial" w:hAnsi="Arial" w:cs="Arial"/>
          <w:b/>
          <w:sz w:val="24"/>
          <w:u w:val="single"/>
        </w:rPr>
      </w:pPr>
      <w:r>
        <w:rPr>
          <w:rFonts w:ascii="Arial" w:hAnsi="Arial" w:cs="Arial"/>
          <w:b/>
          <w:sz w:val="24"/>
          <w:u w:val="single"/>
        </w:rPr>
        <w:t xml:space="preserve">Introduction </w:t>
      </w:r>
    </w:p>
    <w:p w14:paraId="0889EE1F" w14:textId="77777777" w:rsidR="001B5880" w:rsidRDefault="001B5880">
      <w:pPr>
        <w:jc w:val="center"/>
        <w:rPr>
          <w:rFonts w:ascii="Arial" w:hAnsi="Arial" w:cs="Arial"/>
          <w:b/>
          <w:sz w:val="24"/>
          <w:u w:val="single"/>
        </w:rPr>
      </w:pPr>
    </w:p>
    <w:p w14:paraId="0889EE20" w14:textId="77777777" w:rsidR="0005573D" w:rsidRDefault="0005573D">
      <w:pPr>
        <w:pStyle w:val="BodyText"/>
        <w:jc w:val="both"/>
        <w:rPr>
          <w:rFonts w:ascii="Arial" w:hAnsi="Arial" w:cs="Arial"/>
          <w:color w:val="000000"/>
        </w:rPr>
      </w:pPr>
    </w:p>
    <w:p w14:paraId="0889EE21" w14:textId="16DE4B21" w:rsidR="0005573D" w:rsidRDefault="0005573D">
      <w:pPr>
        <w:pStyle w:val="BodyText"/>
        <w:jc w:val="both"/>
        <w:rPr>
          <w:rFonts w:ascii="Arial" w:hAnsi="Arial" w:cs="Arial"/>
          <w:color w:val="000000"/>
        </w:rPr>
      </w:pPr>
      <w:r>
        <w:rPr>
          <w:rFonts w:ascii="Arial" w:hAnsi="Arial" w:cs="Arial"/>
          <w:color w:val="000000"/>
        </w:rPr>
        <w:t xml:space="preserve">Section 35 of the Good Samaritan Energy Plan Act requires the Department to submit a report to the General Assembly on the use and effectiveness of the Good Samaritan Energy Trust Fund. The following is submitted in compliance with this requirement and to provide members of the legislature with information on how the Department of </w:t>
      </w:r>
      <w:r w:rsidR="007D509B">
        <w:rPr>
          <w:rFonts w:ascii="Arial" w:hAnsi="Arial" w:cs="Arial"/>
          <w:color w:val="000000"/>
        </w:rPr>
        <w:t xml:space="preserve">Commerce and Economic Opportunity </w:t>
      </w:r>
      <w:r>
        <w:rPr>
          <w:rFonts w:ascii="Arial" w:hAnsi="Arial" w:cs="Arial"/>
          <w:color w:val="000000"/>
        </w:rPr>
        <w:t>(the Department) incorporated these funds into existing programs to benefit Illinois low-income households.</w:t>
      </w:r>
    </w:p>
    <w:p w14:paraId="0889EE22" w14:textId="77777777" w:rsidR="00675BC3" w:rsidRDefault="00675BC3">
      <w:pPr>
        <w:pStyle w:val="BodyText"/>
        <w:jc w:val="both"/>
        <w:rPr>
          <w:rFonts w:ascii="Arial" w:hAnsi="Arial" w:cs="Arial"/>
          <w:color w:val="000000"/>
        </w:rPr>
      </w:pPr>
    </w:p>
    <w:p w14:paraId="0889EE23" w14:textId="68F4E9B5" w:rsidR="00675BC3" w:rsidRDefault="00675BC3">
      <w:pPr>
        <w:pStyle w:val="BodyText"/>
        <w:jc w:val="both"/>
        <w:rPr>
          <w:rFonts w:ascii="Arial" w:hAnsi="Arial" w:cs="Arial"/>
          <w:color w:val="000000"/>
        </w:rPr>
      </w:pPr>
      <w:r w:rsidRPr="00B1665E">
        <w:rPr>
          <w:rFonts w:ascii="Arial" w:hAnsi="Arial" w:cs="Arial"/>
          <w:color w:val="000000"/>
        </w:rPr>
        <w:t xml:space="preserve">Please note that beginning with </w:t>
      </w:r>
      <w:r w:rsidR="00AE3194">
        <w:rPr>
          <w:rFonts w:ascii="Arial" w:hAnsi="Arial" w:cs="Arial"/>
          <w:color w:val="000000"/>
        </w:rPr>
        <w:t>the 2011</w:t>
      </w:r>
      <w:r w:rsidRPr="00B1665E">
        <w:rPr>
          <w:rFonts w:ascii="Arial" w:hAnsi="Arial" w:cs="Arial"/>
          <w:color w:val="000000"/>
        </w:rPr>
        <w:t xml:space="preserve"> report, all data </w:t>
      </w:r>
      <w:r w:rsidR="00AE3194">
        <w:rPr>
          <w:rFonts w:ascii="Arial" w:hAnsi="Arial" w:cs="Arial"/>
          <w:color w:val="000000"/>
        </w:rPr>
        <w:t xml:space="preserve">is </w:t>
      </w:r>
      <w:r w:rsidRPr="00B1665E">
        <w:rPr>
          <w:rFonts w:ascii="Arial" w:hAnsi="Arial" w:cs="Arial"/>
          <w:color w:val="000000"/>
        </w:rPr>
        <w:t>be</w:t>
      </w:r>
      <w:r w:rsidR="00AE3194">
        <w:rPr>
          <w:rFonts w:ascii="Arial" w:hAnsi="Arial" w:cs="Arial"/>
          <w:color w:val="000000"/>
        </w:rPr>
        <w:t>ing</w:t>
      </w:r>
      <w:r w:rsidRPr="00B1665E">
        <w:rPr>
          <w:rFonts w:ascii="Arial" w:hAnsi="Arial" w:cs="Arial"/>
          <w:color w:val="000000"/>
        </w:rPr>
        <w:t xml:space="preserve"> reported on a calendar year basis rather than a state fiscal year basis</w:t>
      </w:r>
      <w:r w:rsidR="000462EA">
        <w:rPr>
          <w:rFonts w:ascii="Arial" w:hAnsi="Arial" w:cs="Arial"/>
          <w:color w:val="000000"/>
        </w:rPr>
        <w:t xml:space="preserve"> due to the timing of the availability of necessary information</w:t>
      </w:r>
      <w:r w:rsidRPr="00B1665E">
        <w:rPr>
          <w:rFonts w:ascii="Arial" w:hAnsi="Arial" w:cs="Arial"/>
          <w:color w:val="000000"/>
        </w:rPr>
        <w:t>.</w:t>
      </w:r>
    </w:p>
    <w:p w14:paraId="0889EE24" w14:textId="77777777" w:rsidR="0005573D" w:rsidRDefault="0005573D">
      <w:pPr>
        <w:pStyle w:val="BodyText"/>
        <w:jc w:val="both"/>
        <w:rPr>
          <w:rFonts w:ascii="Arial" w:hAnsi="Arial" w:cs="Arial"/>
          <w:color w:val="000000"/>
        </w:rPr>
      </w:pPr>
    </w:p>
    <w:p w14:paraId="0889EE25" w14:textId="77777777" w:rsidR="0005573D" w:rsidRDefault="0005573D">
      <w:pPr>
        <w:pStyle w:val="Heading1"/>
        <w:rPr>
          <w:rFonts w:ascii="Arial" w:hAnsi="Arial" w:cs="Arial"/>
          <w:b w:val="0"/>
          <w:sz w:val="24"/>
        </w:rPr>
      </w:pPr>
      <w:r>
        <w:rPr>
          <w:rFonts w:ascii="Arial" w:hAnsi="Arial" w:cs="Arial"/>
          <w:sz w:val="24"/>
        </w:rPr>
        <w:t>Background</w:t>
      </w:r>
    </w:p>
    <w:p w14:paraId="0889EE26" w14:textId="77777777" w:rsidR="0005573D" w:rsidRDefault="0005573D">
      <w:pPr>
        <w:jc w:val="both"/>
        <w:rPr>
          <w:rFonts w:ascii="Arial" w:hAnsi="Arial" w:cs="Arial"/>
          <w:b/>
          <w:sz w:val="24"/>
          <w:u w:val="single"/>
        </w:rPr>
      </w:pPr>
    </w:p>
    <w:p w14:paraId="0889EE27" w14:textId="77777777" w:rsidR="0005573D" w:rsidRDefault="0005573D">
      <w:pPr>
        <w:pStyle w:val="BodyText"/>
        <w:jc w:val="both"/>
        <w:rPr>
          <w:rFonts w:ascii="Arial" w:hAnsi="Arial" w:cs="Arial"/>
          <w:color w:val="000000"/>
        </w:rPr>
      </w:pPr>
      <w:r>
        <w:rPr>
          <w:rFonts w:ascii="Arial" w:hAnsi="Arial" w:cs="Arial"/>
          <w:color w:val="000000"/>
        </w:rPr>
        <w:t>In response to sharp increases in home energy costs and high utility bill arrearages, the Good Samaritan Energy Trust Fund was enacted to augment the benefits provided to low–income households in Illinois through the Energy Assistance Act of 1989 that governs the administration of the Low Income Home Energy Assistance Program (LIHEAP).</w:t>
      </w:r>
    </w:p>
    <w:p w14:paraId="0889EE28" w14:textId="77777777" w:rsidR="0005573D" w:rsidRDefault="0005573D">
      <w:pPr>
        <w:pStyle w:val="BodyText"/>
        <w:jc w:val="both"/>
        <w:rPr>
          <w:rFonts w:ascii="Arial" w:hAnsi="Arial" w:cs="Arial"/>
          <w:color w:val="000000"/>
        </w:rPr>
      </w:pPr>
    </w:p>
    <w:p w14:paraId="0889EE29" w14:textId="77777777" w:rsidR="0005573D" w:rsidRDefault="0005573D">
      <w:pPr>
        <w:pStyle w:val="BodyText"/>
        <w:jc w:val="both"/>
        <w:rPr>
          <w:rFonts w:ascii="Arial" w:hAnsi="Arial" w:cs="Arial"/>
          <w:color w:val="000000"/>
        </w:rPr>
      </w:pPr>
      <w:r>
        <w:rPr>
          <w:rFonts w:ascii="Arial" w:hAnsi="Arial" w:cs="Arial"/>
          <w:color w:val="000000"/>
        </w:rPr>
        <w:t xml:space="preserve">High electric and gas bill arrearages are a serious problem for low-income utility consumers in Illinois, often impeding access to service.  The inability to have electric or gas </w:t>
      </w:r>
      <w:proofErr w:type="gramStart"/>
      <w:r>
        <w:rPr>
          <w:rFonts w:ascii="Arial" w:hAnsi="Arial" w:cs="Arial"/>
          <w:color w:val="000000"/>
        </w:rPr>
        <w:t>service connected</w:t>
      </w:r>
      <w:proofErr w:type="gramEnd"/>
      <w:r>
        <w:rPr>
          <w:rFonts w:ascii="Arial" w:hAnsi="Arial" w:cs="Arial"/>
          <w:color w:val="000000"/>
        </w:rPr>
        <w:t xml:space="preserve"> due to high arrearages is also a threat to the health and safety of many low-income households in Illinois.  Eligibility for LIHEAP does not alleviate the burden of high arrearages for low-income utility consumers and is not enough to enable many households to have electric or gas service connected.</w:t>
      </w:r>
    </w:p>
    <w:p w14:paraId="0889EE2A" w14:textId="77777777" w:rsidR="0005573D" w:rsidRDefault="0005573D">
      <w:pPr>
        <w:pStyle w:val="BodyText"/>
        <w:jc w:val="both"/>
        <w:rPr>
          <w:rFonts w:ascii="Arial" w:hAnsi="Arial" w:cs="Arial"/>
          <w:color w:val="000000"/>
        </w:rPr>
      </w:pPr>
    </w:p>
    <w:p w14:paraId="0889EE2B" w14:textId="77777777" w:rsidR="0005573D" w:rsidRDefault="0005573D">
      <w:pPr>
        <w:pStyle w:val="BodyText"/>
        <w:jc w:val="both"/>
        <w:rPr>
          <w:rFonts w:ascii="Arial" w:hAnsi="Arial" w:cs="Arial"/>
          <w:color w:val="000000"/>
        </w:rPr>
      </w:pPr>
      <w:r>
        <w:rPr>
          <w:rFonts w:ascii="Arial" w:hAnsi="Arial" w:cs="Arial"/>
          <w:color w:val="000000"/>
        </w:rPr>
        <w:t xml:space="preserve">The Good Samaritan Energy Trust Fund </w:t>
      </w:r>
      <w:r w:rsidR="00125E6B">
        <w:rPr>
          <w:rFonts w:ascii="Arial" w:hAnsi="Arial" w:cs="Arial"/>
          <w:color w:val="000000"/>
        </w:rPr>
        <w:t>was</w:t>
      </w:r>
      <w:r>
        <w:rPr>
          <w:rFonts w:ascii="Arial" w:hAnsi="Arial" w:cs="Arial"/>
          <w:color w:val="000000"/>
        </w:rPr>
        <w:t xml:space="preserve"> created as a special fund in the State treasury to receive moneys from the following sources:</w:t>
      </w:r>
    </w:p>
    <w:p w14:paraId="0889EE2C" w14:textId="77777777" w:rsidR="0005573D" w:rsidRDefault="0005573D">
      <w:pPr>
        <w:pStyle w:val="BodyText"/>
        <w:jc w:val="both"/>
        <w:rPr>
          <w:rFonts w:ascii="Arial" w:hAnsi="Arial" w:cs="Arial"/>
          <w:color w:val="000000"/>
        </w:rPr>
      </w:pPr>
    </w:p>
    <w:p w14:paraId="0889EE2D" w14:textId="77777777" w:rsidR="0005573D" w:rsidRDefault="0005573D">
      <w:pPr>
        <w:pStyle w:val="HTMLPreformatted"/>
        <w:numPr>
          <w:ilvl w:val="0"/>
          <w:numId w:val="20"/>
        </w:numPr>
        <w:tabs>
          <w:tab w:val="clear" w:pos="900"/>
          <w:tab w:val="num" w:pos="540"/>
        </w:tabs>
        <w:ind w:left="540"/>
        <w:rPr>
          <w:rFonts w:ascii="Arial" w:eastAsia="Times New Roman" w:hAnsi="Arial" w:cs="Arial"/>
          <w:sz w:val="24"/>
        </w:rPr>
      </w:pPr>
      <w:r>
        <w:rPr>
          <w:rFonts w:ascii="Arial" w:eastAsia="Times New Roman" w:hAnsi="Arial" w:cs="Arial"/>
          <w:sz w:val="24"/>
        </w:rPr>
        <w:t xml:space="preserve">Voluntary donations from individuals, </w:t>
      </w:r>
      <w:r w:rsidR="00125E6B">
        <w:rPr>
          <w:rFonts w:ascii="Arial" w:eastAsia="Times New Roman" w:hAnsi="Arial" w:cs="Arial"/>
          <w:sz w:val="24"/>
        </w:rPr>
        <w:t>foundations</w:t>
      </w:r>
      <w:r>
        <w:rPr>
          <w:rFonts w:ascii="Arial" w:eastAsia="Times New Roman" w:hAnsi="Arial" w:cs="Arial"/>
          <w:sz w:val="24"/>
        </w:rPr>
        <w:t>, corporations, and other sources</w:t>
      </w:r>
      <w:r w:rsidR="00CC4180">
        <w:rPr>
          <w:rFonts w:ascii="Arial" w:eastAsia="Times New Roman" w:hAnsi="Arial" w:cs="Arial"/>
          <w:sz w:val="24"/>
        </w:rPr>
        <w:t>; and</w:t>
      </w:r>
    </w:p>
    <w:p w14:paraId="0889EE2E" w14:textId="77777777" w:rsidR="0005573D" w:rsidRDefault="0005573D">
      <w:pPr>
        <w:pStyle w:val="HTMLPreformatted"/>
        <w:numPr>
          <w:ilvl w:val="0"/>
          <w:numId w:val="20"/>
        </w:numPr>
        <w:tabs>
          <w:tab w:val="clear" w:pos="900"/>
          <w:tab w:val="num" w:pos="540"/>
        </w:tabs>
        <w:ind w:left="540"/>
        <w:rPr>
          <w:rFonts w:ascii="Arial" w:eastAsia="Times New Roman" w:hAnsi="Arial" w:cs="Arial"/>
          <w:sz w:val="24"/>
        </w:rPr>
      </w:pPr>
      <w:r>
        <w:rPr>
          <w:rFonts w:ascii="Arial" w:eastAsia="Times New Roman" w:hAnsi="Arial" w:cs="Arial"/>
          <w:sz w:val="24"/>
        </w:rPr>
        <w:t>Proceeds from fundraising events held for the purpose of generating moneys for the Fund</w:t>
      </w:r>
      <w:r w:rsidR="00125E6B">
        <w:rPr>
          <w:rFonts w:ascii="Arial" w:eastAsia="Times New Roman" w:hAnsi="Arial" w:cs="Arial"/>
          <w:sz w:val="24"/>
        </w:rPr>
        <w:t>.</w:t>
      </w:r>
    </w:p>
    <w:p w14:paraId="0889EE2F" w14:textId="77777777" w:rsidR="0005573D" w:rsidRDefault="0005573D">
      <w:pPr>
        <w:jc w:val="both"/>
        <w:rPr>
          <w:rFonts w:ascii="Arial" w:hAnsi="Arial" w:cs="Arial"/>
          <w:sz w:val="24"/>
        </w:rPr>
      </w:pPr>
    </w:p>
    <w:p w14:paraId="0889EE30" w14:textId="77777777" w:rsidR="0005573D" w:rsidRDefault="0005573D">
      <w:pPr>
        <w:jc w:val="both"/>
        <w:rPr>
          <w:rFonts w:ascii="Arial" w:hAnsi="Arial" w:cs="Arial"/>
          <w:sz w:val="24"/>
        </w:rPr>
      </w:pPr>
      <w:r>
        <w:rPr>
          <w:rFonts w:ascii="Arial" w:hAnsi="Arial" w:cs="Arial"/>
          <w:sz w:val="24"/>
        </w:rPr>
        <w:t>Subject to appropriation, the Department is authorized to use these moneys in the following ways:</w:t>
      </w:r>
    </w:p>
    <w:p w14:paraId="0889EE31" w14:textId="77777777" w:rsidR="0005573D" w:rsidRDefault="0005573D">
      <w:pPr>
        <w:pStyle w:val="HTMLPreformatted"/>
        <w:rPr>
          <w:rFonts w:ascii="Arial" w:eastAsia="Times New Roman" w:hAnsi="Arial" w:cs="Arial"/>
          <w:sz w:val="24"/>
        </w:rPr>
      </w:pPr>
    </w:p>
    <w:p w14:paraId="0889EE32" w14:textId="77777777" w:rsidR="0005573D" w:rsidRDefault="0005573D">
      <w:pPr>
        <w:numPr>
          <w:ilvl w:val="0"/>
          <w:numId w:val="1"/>
        </w:numPr>
        <w:tabs>
          <w:tab w:val="num" w:pos="495"/>
        </w:tabs>
        <w:ind w:left="495"/>
        <w:jc w:val="both"/>
        <w:rPr>
          <w:rFonts w:ascii="Arial" w:hAnsi="Arial" w:cs="Arial"/>
          <w:sz w:val="24"/>
        </w:rPr>
      </w:pPr>
      <w:r>
        <w:rPr>
          <w:rFonts w:ascii="Arial" w:hAnsi="Arial" w:cs="Arial"/>
          <w:sz w:val="24"/>
        </w:rPr>
        <w:t>Pay gas or electric bill arrearages in order to have household gas or electric utility service connected</w:t>
      </w:r>
      <w:r w:rsidR="002165EA">
        <w:rPr>
          <w:rFonts w:ascii="Arial" w:hAnsi="Arial" w:cs="Arial"/>
          <w:sz w:val="24"/>
        </w:rPr>
        <w:t>;</w:t>
      </w:r>
    </w:p>
    <w:p w14:paraId="0889EE33" w14:textId="77777777" w:rsidR="0005573D" w:rsidRDefault="0005573D">
      <w:pPr>
        <w:numPr>
          <w:ilvl w:val="0"/>
          <w:numId w:val="1"/>
        </w:numPr>
        <w:tabs>
          <w:tab w:val="num" w:pos="495"/>
        </w:tabs>
        <w:ind w:left="495"/>
        <w:jc w:val="both"/>
        <w:rPr>
          <w:rFonts w:ascii="Arial" w:hAnsi="Arial" w:cs="Arial"/>
          <w:sz w:val="24"/>
        </w:rPr>
      </w:pPr>
      <w:r>
        <w:rPr>
          <w:rFonts w:ascii="Arial" w:hAnsi="Arial" w:cs="Arial"/>
          <w:sz w:val="24"/>
        </w:rPr>
        <w:t xml:space="preserve">Give preference to </w:t>
      </w:r>
      <w:r w:rsidR="00125E6B">
        <w:rPr>
          <w:rFonts w:ascii="Arial" w:hAnsi="Arial" w:cs="Arial"/>
          <w:sz w:val="24"/>
        </w:rPr>
        <w:t>low</w:t>
      </w:r>
      <w:r>
        <w:rPr>
          <w:rFonts w:ascii="Arial" w:hAnsi="Arial" w:cs="Arial"/>
          <w:sz w:val="24"/>
        </w:rPr>
        <w:t>-income consumers who are unable to have their service connected even with a LIHEAP grant</w:t>
      </w:r>
      <w:r w:rsidR="002165EA">
        <w:rPr>
          <w:rFonts w:ascii="Arial" w:hAnsi="Arial" w:cs="Arial"/>
          <w:sz w:val="24"/>
        </w:rPr>
        <w:t>;</w:t>
      </w:r>
      <w:r w:rsidR="00125E6B">
        <w:rPr>
          <w:rFonts w:ascii="Arial" w:hAnsi="Arial" w:cs="Arial"/>
          <w:sz w:val="24"/>
        </w:rPr>
        <w:t xml:space="preserve"> </w:t>
      </w:r>
      <w:r>
        <w:rPr>
          <w:rFonts w:ascii="Arial" w:hAnsi="Arial" w:cs="Arial"/>
          <w:sz w:val="24"/>
        </w:rPr>
        <w:t>and</w:t>
      </w:r>
    </w:p>
    <w:p w14:paraId="0889EE34" w14:textId="77777777" w:rsidR="0005573D" w:rsidRDefault="0005573D">
      <w:pPr>
        <w:numPr>
          <w:ilvl w:val="0"/>
          <w:numId w:val="1"/>
        </w:numPr>
        <w:tabs>
          <w:tab w:val="num" w:pos="495"/>
        </w:tabs>
        <w:ind w:left="495"/>
        <w:jc w:val="both"/>
        <w:rPr>
          <w:rFonts w:ascii="Arial" w:hAnsi="Arial" w:cs="Arial"/>
          <w:sz w:val="24"/>
        </w:rPr>
      </w:pPr>
      <w:r>
        <w:rPr>
          <w:rFonts w:ascii="Arial" w:hAnsi="Arial" w:cs="Arial"/>
          <w:sz w:val="24"/>
        </w:rPr>
        <w:t>Ensure that moneys donated for the Fund (other than moneys used for administrative expenses) are distributed to low-income consumers who reside in the county from which those moneys were received.</w:t>
      </w:r>
    </w:p>
    <w:p w14:paraId="0889EE35" w14:textId="77777777" w:rsidR="0005573D" w:rsidRDefault="0005573D">
      <w:pPr>
        <w:jc w:val="both"/>
        <w:rPr>
          <w:rFonts w:ascii="Arial" w:hAnsi="Arial" w:cs="Arial"/>
          <w:sz w:val="24"/>
        </w:rPr>
      </w:pPr>
    </w:p>
    <w:p w14:paraId="0889EE36" w14:textId="77777777" w:rsidR="0005573D" w:rsidRDefault="0005573D">
      <w:pPr>
        <w:pStyle w:val="Heading1"/>
        <w:rPr>
          <w:rFonts w:ascii="Arial" w:hAnsi="Arial" w:cs="Arial"/>
          <w:sz w:val="24"/>
        </w:rPr>
      </w:pPr>
      <w:r>
        <w:rPr>
          <w:rFonts w:ascii="Arial" w:hAnsi="Arial" w:cs="Arial"/>
          <w:sz w:val="24"/>
        </w:rPr>
        <w:lastRenderedPageBreak/>
        <w:t>Deposits into the Fund</w:t>
      </w:r>
    </w:p>
    <w:p w14:paraId="0889EE37" w14:textId="77777777" w:rsidR="0005573D" w:rsidRDefault="0005573D">
      <w:pPr>
        <w:rPr>
          <w:rFonts w:ascii="Arial" w:hAnsi="Arial" w:cs="Arial"/>
          <w:b/>
          <w:sz w:val="24"/>
          <w:u w:val="single"/>
        </w:rPr>
      </w:pPr>
    </w:p>
    <w:p w14:paraId="0889EE38" w14:textId="7C30971C" w:rsidR="0005573D" w:rsidRDefault="0005573D">
      <w:pPr>
        <w:pStyle w:val="BodyText"/>
        <w:jc w:val="both"/>
        <w:rPr>
          <w:rFonts w:ascii="Arial" w:hAnsi="Arial" w:cs="Arial"/>
        </w:rPr>
      </w:pPr>
      <w:r>
        <w:rPr>
          <w:rFonts w:ascii="Arial" w:hAnsi="Arial" w:cs="Arial"/>
        </w:rPr>
        <w:t xml:space="preserve">As a result of an exhaustive effort to solicit donations </w:t>
      </w:r>
      <w:proofErr w:type="gramStart"/>
      <w:r>
        <w:rPr>
          <w:rFonts w:ascii="Arial" w:hAnsi="Arial" w:cs="Arial"/>
        </w:rPr>
        <w:t>through the use of</w:t>
      </w:r>
      <w:proofErr w:type="gramEnd"/>
      <w:r>
        <w:rPr>
          <w:rFonts w:ascii="Arial" w:hAnsi="Arial" w:cs="Arial"/>
        </w:rPr>
        <w:t xml:space="preserve"> Public Service Announcements, and inserts contained in utility bill mailings, contributions began to be submitted to the fund in January of 2004.  The following table lists the deposits </w:t>
      </w:r>
      <w:r w:rsidR="00666F31">
        <w:rPr>
          <w:rFonts w:ascii="Arial" w:hAnsi="Arial" w:cs="Arial"/>
        </w:rPr>
        <w:t>for years</w:t>
      </w:r>
      <w:r>
        <w:rPr>
          <w:rFonts w:ascii="Arial" w:hAnsi="Arial" w:cs="Arial"/>
        </w:rPr>
        <w:t xml:space="preserve"> 2004 to </w:t>
      </w:r>
      <w:r w:rsidR="00E04A1D">
        <w:rPr>
          <w:rFonts w:ascii="Arial" w:hAnsi="Arial" w:cs="Arial"/>
        </w:rPr>
        <w:t>201</w:t>
      </w:r>
      <w:r w:rsidR="005D0A74">
        <w:rPr>
          <w:rFonts w:ascii="Arial" w:hAnsi="Arial" w:cs="Arial"/>
        </w:rPr>
        <w:t>9</w:t>
      </w:r>
      <w:r>
        <w:rPr>
          <w:rFonts w:ascii="Arial" w:hAnsi="Arial" w:cs="Arial"/>
        </w:rPr>
        <w:t>:</w:t>
      </w:r>
    </w:p>
    <w:p w14:paraId="0889EE39" w14:textId="41E094E9" w:rsidR="00B301B0" w:rsidRDefault="00B301B0">
      <w:pPr>
        <w:pStyle w:val="BodyText"/>
        <w:jc w:val="both"/>
        <w:rPr>
          <w:rFonts w:ascii="Arial" w:hAnsi="Arial" w:cs="Arial"/>
        </w:rPr>
      </w:pPr>
      <w:r>
        <w:rPr>
          <w:rFonts w:ascii="Arial" w:hAnsi="Arial" w:cs="Arial"/>
        </w:rPr>
        <w:tab/>
      </w:r>
    </w:p>
    <w:p w14:paraId="51876166" w14:textId="77777777" w:rsidR="003E2BA0" w:rsidRDefault="00052C25">
      <w:pPr>
        <w:pStyle w:val="BodyText"/>
        <w:jc w:val="both"/>
        <w:rPr>
          <w:rFonts w:ascii="Arial" w:hAnsi="Arial" w:cs="Arial"/>
        </w:rPr>
      </w:pPr>
      <w:r>
        <w:rPr>
          <w:rFonts w:ascii="Arial" w:hAnsi="Arial" w:cs="Arial"/>
        </w:rPr>
        <w:tab/>
      </w:r>
    </w:p>
    <w:tbl>
      <w:tblPr>
        <w:tblW w:w="4560" w:type="dxa"/>
        <w:tblInd w:w="2390" w:type="dxa"/>
        <w:tblLook w:val="04A0" w:firstRow="1" w:lastRow="0" w:firstColumn="1" w:lastColumn="0" w:noHBand="0" w:noVBand="1"/>
      </w:tblPr>
      <w:tblGrid>
        <w:gridCol w:w="2320"/>
        <w:gridCol w:w="2240"/>
      </w:tblGrid>
      <w:tr w:rsidR="00AA6435" w:rsidRPr="00AA6435" w14:paraId="1B83B5C6" w14:textId="77777777" w:rsidTr="00AA6435">
        <w:trPr>
          <w:trHeight w:val="510"/>
        </w:trPr>
        <w:tc>
          <w:tcPr>
            <w:tcW w:w="4560" w:type="dxa"/>
            <w:gridSpan w:val="2"/>
            <w:tcBorders>
              <w:top w:val="single" w:sz="8" w:space="0" w:color="auto"/>
              <w:left w:val="single" w:sz="8" w:space="0" w:color="auto"/>
              <w:bottom w:val="single" w:sz="4" w:space="0" w:color="auto"/>
              <w:right w:val="single" w:sz="8" w:space="0" w:color="000000"/>
            </w:tcBorders>
            <w:shd w:val="clear" w:color="auto" w:fill="auto"/>
            <w:vAlign w:val="bottom"/>
            <w:hideMark/>
          </w:tcPr>
          <w:p w14:paraId="4426B1E7" w14:textId="77777777" w:rsidR="00AA6435" w:rsidRPr="00AA6435" w:rsidRDefault="00AA6435" w:rsidP="00AA6435">
            <w:pPr>
              <w:jc w:val="center"/>
              <w:rPr>
                <w:rFonts w:ascii="Arial" w:hAnsi="Arial" w:cs="Arial"/>
                <w:b/>
                <w:bCs/>
              </w:rPr>
            </w:pPr>
            <w:r w:rsidRPr="00AA6435">
              <w:rPr>
                <w:rFonts w:ascii="Arial" w:hAnsi="Arial" w:cs="Arial"/>
                <w:b/>
                <w:bCs/>
              </w:rPr>
              <w:t xml:space="preserve">Deposits </w:t>
            </w:r>
            <w:proofErr w:type="gramStart"/>
            <w:r w:rsidRPr="00AA6435">
              <w:rPr>
                <w:rFonts w:ascii="Arial" w:hAnsi="Arial" w:cs="Arial"/>
                <w:b/>
                <w:bCs/>
              </w:rPr>
              <w:t>Into</w:t>
            </w:r>
            <w:proofErr w:type="gramEnd"/>
            <w:r w:rsidRPr="00AA6435">
              <w:rPr>
                <w:rFonts w:ascii="Arial" w:hAnsi="Arial" w:cs="Arial"/>
                <w:b/>
                <w:bCs/>
              </w:rPr>
              <w:t xml:space="preserve"> The Good Samaritan Energy Trust Fund By Fiscal Year</w:t>
            </w:r>
          </w:p>
        </w:tc>
      </w:tr>
      <w:tr w:rsidR="00AA6435" w:rsidRPr="00AA6435" w14:paraId="01BEFAD7" w14:textId="77777777" w:rsidTr="00AA6435">
        <w:trPr>
          <w:trHeight w:val="25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26E13204" w14:textId="77777777" w:rsidR="00AA6435" w:rsidRPr="00AA6435" w:rsidRDefault="00AA6435" w:rsidP="00AA6435">
            <w:pPr>
              <w:rPr>
                <w:rFonts w:ascii="Arial" w:hAnsi="Arial" w:cs="Arial"/>
              </w:rPr>
            </w:pPr>
            <w:r w:rsidRPr="00AA6435">
              <w:rPr>
                <w:rFonts w:ascii="Arial" w:hAnsi="Arial" w:cs="Arial"/>
              </w:rPr>
              <w:t> </w:t>
            </w:r>
          </w:p>
        </w:tc>
        <w:tc>
          <w:tcPr>
            <w:tcW w:w="2240" w:type="dxa"/>
            <w:tcBorders>
              <w:top w:val="nil"/>
              <w:left w:val="nil"/>
              <w:bottom w:val="single" w:sz="4" w:space="0" w:color="auto"/>
              <w:right w:val="single" w:sz="8" w:space="0" w:color="auto"/>
            </w:tcBorders>
            <w:shd w:val="clear" w:color="auto" w:fill="auto"/>
            <w:noWrap/>
            <w:vAlign w:val="bottom"/>
            <w:hideMark/>
          </w:tcPr>
          <w:p w14:paraId="28488910" w14:textId="77777777" w:rsidR="00AA6435" w:rsidRPr="00AA6435" w:rsidRDefault="00AA6435" w:rsidP="00AA6435">
            <w:pPr>
              <w:rPr>
                <w:rFonts w:ascii="Arial" w:hAnsi="Arial" w:cs="Arial"/>
                <w:b/>
                <w:bCs/>
              </w:rPr>
            </w:pPr>
            <w:r w:rsidRPr="00AA6435">
              <w:rPr>
                <w:rFonts w:ascii="Arial" w:hAnsi="Arial" w:cs="Arial"/>
                <w:b/>
                <w:bCs/>
              </w:rPr>
              <w:t> </w:t>
            </w:r>
          </w:p>
        </w:tc>
      </w:tr>
      <w:tr w:rsidR="00AA6435" w:rsidRPr="00AA6435" w14:paraId="1422D74E" w14:textId="77777777" w:rsidTr="00AA6435">
        <w:trPr>
          <w:trHeight w:val="25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16A9BD49" w14:textId="77777777" w:rsidR="00AA6435" w:rsidRPr="00AA6435" w:rsidRDefault="00AA6435" w:rsidP="00AA6435">
            <w:pPr>
              <w:jc w:val="center"/>
              <w:rPr>
                <w:rFonts w:ascii="Arial" w:hAnsi="Arial" w:cs="Arial"/>
              </w:rPr>
            </w:pPr>
            <w:r w:rsidRPr="00AA6435">
              <w:rPr>
                <w:rFonts w:ascii="Arial" w:hAnsi="Arial" w:cs="Arial"/>
              </w:rPr>
              <w:t>State Fiscal Year</w:t>
            </w:r>
          </w:p>
        </w:tc>
        <w:tc>
          <w:tcPr>
            <w:tcW w:w="2240" w:type="dxa"/>
            <w:tcBorders>
              <w:top w:val="nil"/>
              <w:left w:val="nil"/>
              <w:bottom w:val="single" w:sz="4" w:space="0" w:color="auto"/>
              <w:right w:val="single" w:sz="8" w:space="0" w:color="auto"/>
            </w:tcBorders>
            <w:shd w:val="clear" w:color="auto" w:fill="auto"/>
            <w:hideMark/>
          </w:tcPr>
          <w:p w14:paraId="08CF4F53" w14:textId="77777777" w:rsidR="00AA6435" w:rsidRPr="00AA6435" w:rsidRDefault="00AA6435" w:rsidP="00AA6435">
            <w:pPr>
              <w:jc w:val="center"/>
              <w:rPr>
                <w:rFonts w:ascii="Arial" w:hAnsi="Arial" w:cs="Arial"/>
              </w:rPr>
            </w:pPr>
            <w:r w:rsidRPr="00AA6435">
              <w:rPr>
                <w:rFonts w:ascii="Arial" w:hAnsi="Arial" w:cs="Arial"/>
              </w:rPr>
              <w:t>Total Receipts</w:t>
            </w:r>
          </w:p>
        </w:tc>
      </w:tr>
      <w:tr w:rsidR="00AA6435" w:rsidRPr="00AA6435" w14:paraId="02EB0693" w14:textId="77777777" w:rsidTr="00AA6435">
        <w:trPr>
          <w:trHeight w:val="25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17AA8F00" w14:textId="77777777" w:rsidR="00AA6435" w:rsidRPr="00AA6435" w:rsidRDefault="00AA6435" w:rsidP="00AA6435">
            <w:pPr>
              <w:jc w:val="right"/>
              <w:rPr>
                <w:rFonts w:ascii="Arial" w:hAnsi="Arial" w:cs="Arial"/>
              </w:rPr>
            </w:pPr>
            <w:r w:rsidRPr="00AA6435">
              <w:rPr>
                <w:rFonts w:ascii="Arial" w:hAnsi="Arial" w:cs="Arial"/>
              </w:rPr>
              <w:t>SFY 2004</w:t>
            </w:r>
          </w:p>
        </w:tc>
        <w:tc>
          <w:tcPr>
            <w:tcW w:w="2240" w:type="dxa"/>
            <w:tcBorders>
              <w:top w:val="nil"/>
              <w:left w:val="nil"/>
              <w:bottom w:val="single" w:sz="4" w:space="0" w:color="auto"/>
              <w:right w:val="single" w:sz="8" w:space="0" w:color="auto"/>
            </w:tcBorders>
            <w:shd w:val="clear" w:color="auto" w:fill="auto"/>
            <w:noWrap/>
            <w:vAlign w:val="bottom"/>
            <w:hideMark/>
          </w:tcPr>
          <w:p w14:paraId="053CA74E" w14:textId="77777777" w:rsidR="00AA6435" w:rsidRPr="00AA6435" w:rsidRDefault="00AA6435" w:rsidP="00AA6435">
            <w:pPr>
              <w:jc w:val="right"/>
              <w:rPr>
                <w:rFonts w:ascii="Arial" w:hAnsi="Arial" w:cs="Arial"/>
              </w:rPr>
            </w:pPr>
            <w:r w:rsidRPr="00AA6435">
              <w:rPr>
                <w:rFonts w:ascii="Arial" w:hAnsi="Arial" w:cs="Arial"/>
              </w:rPr>
              <w:t>$1,608</w:t>
            </w:r>
          </w:p>
        </w:tc>
      </w:tr>
      <w:tr w:rsidR="00AA6435" w:rsidRPr="00AA6435" w14:paraId="12FCA65D" w14:textId="77777777" w:rsidTr="00AA6435">
        <w:trPr>
          <w:trHeight w:val="25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0D67E177" w14:textId="77777777" w:rsidR="00AA6435" w:rsidRPr="00AA6435" w:rsidRDefault="00AA6435" w:rsidP="00AA6435">
            <w:pPr>
              <w:jc w:val="right"/>
              <w:rPr>
                <w:rFonts w:ascii="Arial" w:hAnsi="Arial" w:cs="Arial"/>
              </w:rPr>
            </w:pPr>
            <w:r w:rsidRPr="00AA6435">
              <w:rPr>
                <w:rFonts w:ascii="Arial" w:hAnsi="Arial" w:cs="Arial"/>
              </w:rPr>
              <w:t>SFY 2005</w:t>
            </w:r>
          </w:p>
        </w:tc>
        <w:tc>
          <w:tcPr>
            <w:tcW w:w="2240" w:type="dxa"/>
            <w:tcBorders>
              <w:top w:val="nil"/>
              <w:left w:val="nil"/>
              <w:bottom w:val="single" w:sz="4" w:space="0" w:color="auto"/>
              <w:right w:val="single" w:sz="8" w:space="0" w:color="auto"/>
            </w:tcBorders>
            <w:shd w:val="clear" w:color="auto" w:fill="auto"/>
            <w:noWrap/>
            <w:vAlign w:val="bottom"/>
            <w:hideMark/>
          </w:tcPr>
          <w:p w14:paraId="65413E37" w14:textId="77777777" w:rsidR="00AA6435" w:rsidRPr="00AA6435" w:rsidRDefault="00AA6435" w:rsidP="00AA6435">
            <w:pPr>
              <w:jc w:val="right"/>
              <w:rPr>
                <w:rFonts w:ascii="Arial" w:hAnsi="Arial" w:cs="Arial"/>
              </w:rPr>
            </w:pPr>
            <w:r w:rsidRPr="00AA6435">
              <w:rPr>
                <w:rFonts w:ascii="Arial" w:hAnsi="Arial" w:cs="Arial"/>
              </w:rPr>
              <w:t>$31,235</w:t>
            </w:r>
          </w:p>
        </w:tc>
      </w:tr>
      <w:tr w:rsidR="00AA6435" w:rsidRPr="00AA6435" w14:paraId="747A17D1" w14:textId="77777777" w:rsidTr="00AA6435">
        <w:trPr>
          <w:trHeight w:val="25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01870439" w14:textId="77777777" w:rsidR="00AA6435" w:rsidRPr="00AA6435" w:rsidRDefault="00AA6435" w:rsidP="00AA6435">
            <w:pPr>
              <w:jc w:val="right"/>
              <w:rPr>
                <w:rFonts w:ascii="Arial" w:hAnsi="Arial" w:cs="Arial"/>
              </w:rPr>
            </w:pPr>
            <w:r w:rsidRPr="00AA6435">
              <w:rPr>
                <w:rFonts w:ascii="Arial" w:hAnsi="Arial" w:cs="Arial"/>
              </w:rPr>
              <w:t>SFY 2006</w:t>
            </w:r>
          </w:p>
        </w:tc>
        <w:tc>
          <w:tcPr>
            <w:tcW w:w="2240" w:type="dxa"/>
            <w:tcBorders>
              <w:top w:val="nil"/>
              <w:left w:val="nil"/>
              <w:bottom w:val="single" w:sz="4" w:space="0" w:color="auto"/>
              <w:right w:val="single" w:sz="8" w:space="0" w:color="auto"/>
            </w:tcBorders>
            <w:shd w:val="clear" w:color="auto" w:fill="auto"/>
            <w:noWrap/>
            <w:vAlign w:val="bottom"/>
            <w:hideMark/>
          </w:tcPr>
          <w:p w14:paraId="33B9A84B" w14:textId="77777777" w:rsidR="00AA6435" w:rsidRPr="00AA6435" w:rsidRDefault="00AA6435" w:rsidP="00AA6435">
            <w:pPr>
              <w:jc w:val="right"/>
              <w:rPr>
                <w:rFonts w:ascii="Arial" w:hAnsi="Arial" w:cs="Arial"/>
              </w:rPr>
            </w:pPr>
            <w:r w:rsidRPr="00AA6435">
              <w:rPr>
                <w:rFonts w:ascii="Arial" w:hAnsi="Arial" w:cs="Arial"/>
              </w:rPr>
              <w:t>$2,001,948</w:t>
            </w:r>
          </w:p>
        </w:tc>
      </w:tr>
      <w:tr w:rsidR="00AA6435" w:rsidRPr="00AA6435" w14:paraId="0B4D7163" w14:textId="77777777" w:rsidTr="00AA6435">
        <w:trPr>
          <w:trHeight w:val="25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0AF098B7" w14:textId="77777777" w:rsidR="00AA6435" w:rsidRPr="00AA6435" w:rsidRDefault="00AA6435" w:rsidP="00AA6435">
            <w:pPr>
              <w:jc w:val="right"/>
              <w:rPr>
                <w:rFonts w:ascii="Arial" w:hAnsi="Arial" w:cs="Arial"/>
              </w:rPr>
            </w:pPr>
            <w:r w:rsidRPr="00AA6435">
              <w:rPr>
                <w:rFonts w:ascii="Arial" w:hAnsi="Arial" w:cs="Arial"/>
              </w:rPr>
              <w:t>SFY 2007</w:t>
            </w:r>
          </w:p>
        </w:tc>
        <w:tc>
          <w:tcPr>
            <w:tcW w:w="2240" w:type="dxa"/>
            <w:tcBorders>
              <w:top w:val="nil"/>
              <w:left w:val="nil"/>
              <w:bottom w:val="single" w:sz="4" w:space="0" w:color="auto"/>
              <w:right w:val="single" w:sz="8" w:space="0" w:color="auto"/>
            </w:tcBorders>
            <w:shd w:val="clear" w:color="auto" w:fill="auto"/>
            <w:noWrap/>
            <w:vAlign w:val="bottom"/>
            <w:hideMark/>
          </w:tcPr>
          <w:p w14:paraId="4B1F5003" w14:textId="77777777" w:rsidR="00AA6435" w:rsidRPr="00AA6435" w:rsidRDefault="00AA6435" w:rsidP="00AA6435">
            <w:pPr>
              <w:jc w:val="right"/>
              <w:rPr>
                <w:rFonts w:ascii="Arial" w:hAnsi="Arial" w:cs="Arial"/>
              </w:rPr>
            </w:pPr>
            <w:r w:rsidRPr="00AA6435">
              <w:rPr>
                <w:rFonts w:ascii="Arial" w:hAnsi="Arial" w:cs="Arial"/>
              </w:rPr>
              <w:t>$4,885</w:t>
            </w:r>
          </w:p>
        </w:tc>
      </w:tr>
      <w:tr w:rsidR="00AA6435" w:rsidRPr="00AA6435" w14:paraId="43D5839B" w14:textId="77777777" w:rsidTr="00AA6435">
        <w:trPr>
          <w:trHeight w:val="25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3503A4D4" w14:textId="77777777" w:rsidR="00AA6435" w:rsidRPr="00AA6435" w:rsidRDefault="00AA6435" w:rsidP="00AA6435">
            <w:pPr>
              <w:jc w:val="right"/>
              <w:rPr>
                <w:rFonts w:ascii="Arial" w:hAnsi="Arial" w:cs="Arial"/>
              </w:rPr>
            </w:pPr>
            <w:r w:rsidRPr="00AA6435">
              <w:rPr>
                <w:rFonts w:ascii="Arial" w:hAnsi="Arial" w:cs="Arial"/>
              </w:rPr>
              <w:t>SFY 2008</w:t>
            </w:r>
          </w:p>
        </w:tc>
        <w:tc>
          <w:tcPr>
            <w:tcW w:w="2240" w:type="dxa"/>
            <w:tcBorders>
              <w:top w:val="nil"/>
              <w:left w:val="nil"/>
              <w:bottom w:val="single" w:sz="4" w:space="0" w:color="auto"/>
              <w:right w:val="single" w:sz="8" w:space="0" w:color="auto"/>
            </w:tcBorders>
            <w:shd w:val="clear" w:color="auto" w:fill="auto"/>
            <w:noWrap/>
            <w:vAlign w:val="bottom"/>
            <w:hideMark/>
          </w:tcPr>
          <w:p w14:paraId="67D725E4" w14:textId="77777777" w:rsidR="00AA6435" w:rsidRPr="00AA6435" w:rsidRDefault="00AA6435" w:rsidP="00AA6435">
            <w:pPr>
              <w:jc w:val="right"/>
              <w:rPr>
                <w:rFonts w:ascii="Arial" w:hAnsi="Arial" w:cs="Arial"/>
              </w:rPr>
            </w:pPr>
            <w:r w:rsidRPr="00AA6435">
              <w:rPr>
                <w:rFonts w:ascii="Arial" w:hAnsi="Arial" w:cs="Arial"/>
              </w:rPr>
              <w:t>$649</w:t>
            </w:r>
          </w:p>
        </w:tc>
      </w:tr>
      <w:tr w:rsidR="00AA6435" w:rsidRPr="00AA6435" w14:paraId="52A965BB" w14:textId="77777777" w:rsidTr="00AA6435">
        <w:trPr>
          <w:trHeight w:val="25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71269ABC" w14:textId="77777777" w:rsidR="00AA6435" w:rsidRPr="00AA6435" w:rsidRDefault="00AA6435" w:rsidP="00AA6435">
            <w:pPr>
              <w:jc w:val="right"/>
              <w:rPr>
                <w:rFonts w:ascii="Arial" w:hAnsi="Arial" w:cs="Arial"/>
              </w:rPr>
            </w:pPr>
            <w:r w:rsidRPr="00AA6435">
              <w:rPr>
                <w:rFonts w:ascii="Arial" w:hAnsi="Arial" w:cs="Arial"/>
              </w:rPr>
              <w:t>SFY 2009</w:t>
            </w:r>
          </w:p>
        </w:tc>
        <w:tc>
          <w:tcPr>
            <w:tcW w:w="2240" w:type="dxa"/>
            <w:tcBorders>
              <w:top w:val="nil"/>
              <w:left w:val="nil"/>
              <w:bottom w:val="single" w:sz="4" w:space="0" w:color="auto"/>
              <w:right w:val="single" w:sz="8" w:space="0" w:color="auto"/>
            </w:tcBorders>
            <w:shd w:val="clear" w:color="auto" w:fill="auto"/>
            <w:noWrap/>
            <w:vAlign w:val="bottom"/>
            <w:hideMark/>
          </w:tcPr>
          <w:p w14:paraId="710B1ECC" w14:textId="77777777" w:rsidR="00AA6435" w:rsidRPr="00AA6435" w:rsidRDefault="00AA6435" w:rsidP="00AA6435">
            <w:pPr>
              <w:jc w:val="right"/>
              <w:rPr>
                <w:rFonts w:ascii="Arial" w:hAnsi="Arial" w:cs="Arial"/>
              </w:rPr>
            </w:pPr>
            <w:r w:rsidRPr="00AA6435">
              <w:rPr>
                <w:rFonts w:ascii="Arial" w:hAnsi="Arial" w:cs="Arial"/>
              </w:rPr>
              <w:t>$1,600</w:t>
            </w:r>
          </w:p>
        </w:tc>
      </w:tr>
      <w:tr w:rsidR="00AA6435" w:rsidRPr="00AA6435" w14:paraId="7FC3CCC3" w14:textId="77777777" w:rsidTr="00AA6435">
        <w:trPr>
          <w:trHeight w:val="25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47B086E2" w14:textId="77777777" w:rsidR="00AA6435" w:rsidRPr="00AA6435" w:rsidRDefault="00AA6435" w:rsidP="00AA6435">
            <w:pPr>
              <w:jc w:val="right"/>
              <w:rPr>
                <w:rFonts w:ascii="Arial" w:hAnsi="Arial" w:cs="Arial"/>
              </w:rPr>
            </w:pPr>
            <w:r w:rsidRPr="00AA6435">
              <w:rPr>
                <w:rFonts w:ascii="Arial" w:hAnsi="Arial" w:cs="Arial"/>
              </w:rPr>
              <w:t>SFY 2010</w:t>
            </w:r>
          </w:p>
        </w:tc>
        <w:tc>
          <w:tcPr>
            <w:tcW w:w="2240" w:type="dxa"/>
            <w:tcBorders>
              <w:top w:val="nil"/>
              <w:left w:val="nil"/>
              <w:bottom w:val="single" w:sz="4" w:space="0" w:color="auto"/>
              <w:right w:val="single" w:sz="8" w:space="0" w:color="auto"/>
            </w:tcBorders>
            <w:shd w:val="clear" w:color="auto" w:fill="auto"/>
            <w:noWrap/>
            <w:vAlign w:val="bottom"/>
            <w:hideMark/>
          </w:tcPr>
          <w:p w14:paraId="5A335EAC" w14:textId="77777777" w:rsidR="00AA6435" w:rsidRPr="00AA6435" w:rsidRDefault="00AA6435" w:rsidP="00AA6435">
            <w:pPr>
              <w:jc w:val="right"/>
              <w:rPr>
                <w:rFonts w:ascii="Arial" w:hAnsi="Arial" w:cs="Arial"/>
              </w:rPr>
            </w:pPr>
            <w:r w:rsidRPr="00AA6435">
              <w:rPr>
                <w:rFonts w:ascii="Arial" w:hAnsi="Arial" w:cs="Arial"/>
              </w:rPr>
              <w:t>$935</w:t>
            </w:r>
          </w:p>
        </w:tc>
      </w:tr>
      <w:tr w:rsidR="00AA6435" w:rsidRPr="00AA6435" w14:paraId="3DFCE4A9" w14:textId="77777777" w:rsidTr="00AA6435">
        <w:trPr>
          <w:trHeight w:val="255"/>
        </w:trPr>
        <w:tc>
          <w:tcPr>
            <w:tcW w:w="2320" w:type="dxa"/>
            <w:tcBorders>
              <w:top w:val="nil"/>
              <w:left w:val="single" w:sz="8" w:space="0" w:color="auto"/>
              <w:bottom w:val="nil"/>
              <w:right w:val="single" w:sz="4" w:space="0" w:color="auto"/>
            </w:tcBorders>
            <w:shd w:val="clear" w:color="000000" w:fill="FFFFFF"/>
            <w:vAlign w:val="bottom"/>
            <w:hideMark/>
          </w:tcPr>
          <w:p w14:paraId="159364B4" w14:textId="77777777" w:rsidR="00AA6435" w:rsidRPr="00AA6435" w:rsidRDefault="00AA6435" w:rsidP="00AA6435">
            <w:pPr>
              <w:jc w:val="right"/>
              <w:rPr>
                <w:rFonts w:ascii="Arial" w:hAnsi="Arial" w:cs="Arial"/>
              </w:rPr>
            </w:pPr>
            <w:r w:rsidRPr="00AA6435">
              <w:rPr>
                <w:rFonts w:ascii="Arial" w:hAnsi="Arial" w:cs="Arial"/>
              </w:rPr>
              <w:t>Calendar Yr. 2010</w:t>
            </w:r>
          </w:p>
        </w:tc>
        <w:tc>
          <w:tcPr>
            <w:tcW w:w="2240" w:type="dxa"/>
            <w:tcBorders>
              <w:top w:val="nil"/>
              <w:left w:val="nil"/>
              <w:bottom w:val="single" w:sz="4" w:space="0" w:color="auto"/>
              <w:right w:val="single" w:sz="8" w:space="0" w:color="auto"/>
            </w:tcBorders>
            <w:shd w:val="clear" w:color="000000" w:fill="FFFFFF"/>
            <w:noWrap/>
            <w:vAlign w:val="bottom"/>
            <w:hideMark/>
          </w:tcPr>
          <w:p w14:paraId="528B1DA3" w14:textId="77777777" w:rsidR="00AA6435" w:rsidRPr="00AA6435" w:rsidRDefault="00AA6435" w:rsidP="00AA6435">
            <w:pPr>
              <w:jc w:val="right"/>
              <w:rPr>
                <w:rFonts w:ascii="Arial" w:hAnsi="Arial" w:cs="Arial"/>
              </w:rPr>
            </w:pPr>
            <w:r w:rsidRPr="00AA6435">
              <w:rPr>
                <w:rFonts w:ascii="Arial" w:hAnsi="Arial" w:cs="Arial"/>
              </w:rPr>
              <w:t>$845</w:t>
            </w:r>
          </w:p>
        </w:tc>
      </w:tr>
      <w:tr w:rsidR="00AA6435" w:rsidRPr="00AA6435" w14:paraId="3D2C63A3" w14:textId="77777777" w:rsidTr="00AA6435">
        <w:trPr>
          <w:trHeight w:val="255"/>
        </w:trPr>
        <w:tc>
          <w:tcPr>
            <w:tcW w:w="2320" w:type="dxa"/>
            <w:tcBorders>
              <w:top w:val="single" w:sz="4" w:space="0" w:color="auto"/>
              <w:left w:val="single" w:sz="8" w:space="0" w:color="auto"/>
              <w:bottom w:val="nil"/>
              <w:right w:val="single" w:sz="4" w:space="0" w:color="auto"/>
            </w:tcBorders>
            <w:shd w:val="clear" w:color="000000" w:fill="FFFFFF"/>
            <w:vAlign w:val="bottom"/>
            <w:hideMark/>
          </w:tcPr>
          <w:p w14:paraId="29DCF732" w14:textId="77777777" w:rsidR="00AA6435" w:rsidRPr="00AA6435" w:rsidRDefault="00AA6435" w:rsidP="00AA6435">
            <w:pPr>
              <w:jc w:val="right"/>
              <w:rPr>
                <w:rFonts w:ascii="Arial" w:hAnsi="Arial" w:cs="Arial"/>
              </w:rPr>
            </w:pPr>
            <w:r w:rsidRPr="00AA6435">
              <w:rPr>
                <w:rFonts w:ascii="Arial" w:hAnsi="Arial" w:cs="Arial"/>
              </w:rPr>
              <w:t>Calendar Yr. 2011</w:t>
            </w:r>
          </w:p>
        </w:tc>
        <w:tc>
          <w:tcPr>
            <w:tcW w:w="2240" w:type="dxa"/>
            <w:tcBorders>
              <w:top w:val="nil"/>
              <w:left w:val="nil"/>
              <w:bottom w:val="single" w:sz="4" w:space="0" w:color="auto"/>
              <w:right w:val="single" w:sz="8" w:space="0" w:color="auto"/>
            </w:tcBorders>
            <w:shd w:val="clear" w:color="000000" w:fill="FFFFFF"/>
            <w:noWrap/>
            <w:vAlign w:val="bottom"/>
            <w:hideMark/>
          </w:tcPr>
          <w:p w14:paraId="1D03FDCD" w14:textId="77777777" w:rsidR="00AA6435" w:rsidRPr="00AA6435" w:rsidRDefault="00AA6435" w:rsidP="00AA6435">
            <w:pPr>
              <w:jc w:val="right"/>
              <w:rPr>
                <w:rFonts w:ascii="Arial" w:hAnsi="Arial" w:cs="Arial"/>
              </w:rPr>
            </w:pPr>
            <w:r w:rsidRPr="00AA6435">
              <w:rPr>
                <w:rFonts w:ascii="Arial" w:hAnsi="Arial" w:cs="Arial"/>
              </w:rPr>
              <w:t>$135</w:t>
            </w:r>
          </w:p>
        </w:tc>
      </w:tr>
      <w:tr w:rsidR="00AA6435" w:rsidRPr="00AA6435" w14:paraId="191F242B" w14:textId="77777777" w:rsidTr="00AA6435">
        <w:trPr>
          <w:trHeight w:val="255"/>
        </w:trPr>
        <w:tc>
          <w:tcPr>
            <w:tcW w:w="2320" w:type="dxa"/>
            <w:tcBorders>
              <w:top w:val="single" w:sz="4" w:space="0" w:color="auto"/>
              <w:left w:val="single" w:sz="8" w:space="0" w:color="auto"/>
              <w:bottom w:val="nil"/>
              <w:right w:val="single" w:sz="4" w:space="0" w:color="auto"/>
            </w:tcBorders>
            <w:shd w:val="clear" w:color="000000" w:fill="FFFFFF"/>
            <w:vAlign w:val="bottom"/>
            <w:hideMark/>
          </w:tcPr>
          <w:p w14:paraId="6AF72699" w14:textId="77777777" w:rsidR="00AA6435" w:rsidRPr="00AA6435" w:rsidRDefault="00AA6435" w:rsidP="00AA6435">
            <w:pPr>
              <w:jc w:val="right"/>
              <w:rPr>
                <w:rFonts w:ascii="Arial" w:hAnsi="Arial" w:cs="Arial"/>
              </w:rPr>
            </w:pPr>
            <w:r w:rsidRPr="00AA6435">
              <w:rPr>
                <w:rFonts w:ascii="Arial" w:hAnsi="Arial" w:cs="Arial"/>
              </w:rPr>
              <w:t>Calendar Yr. 2012</w:t>
            </w:r>
          </w:p>
        </w:tc>
        <w:tc>
          <w:tcPr>
            <w:tcW w:w="2240" w:type="dxa"/>
            <w:tcBorders>
              <w:top w:val="nil"/>
              <w:left w:val="nil"/>
              <w:bottom w:val="single" w:sz="4" w:space="0" w:color="auto"/>
              <w:right w:val="single" w:sz="8" w:space="0" w:color="auto"/>
            </w:tcBorders>
            <w:shd w:val="clear" w:color="000000" w:fill="FFFFFF"/>
            <w:noWrap/>
            <w:vAlign w:val="bottom"/>
            <w:hideMark/>
          </w:tcPr>
          <w:p w14:paraId="2690B93D" w14:textId="77777777" w:rsidR="00AA6435" w:rsidRPr="00AA6435" w:rsidRDefault="00AA6435" w:rsidP="00AA6435">
            <w:pPr>
              <w:jc w:val="right"/>
              <w:rPr>
                <w:rFonts w:ascii="Arial" w:hAnsi="Arial" w:cs="Arial"/>
              </w:rPr>
            </w:pPr>
            <w:r w:rsidRPr="00AA6435">
              <w:rPr>
                <w:rFonts w:ascii="Arial" w:hAnsi="Arial" w:cs="Arial"/>
              </w:rPr>
              <w:t>$75</w:t>
            </w:r>
          </w:p>
        </w:tc>
      </w:tr>
      <w:tr w:rsidR="00AA6435" w:rsidRPr="00AA6435" w14:paraId="2F9B3274" w14:textId="77777777" w:rsidTr="00AA6435">
        <w:trPr>
          <w:trHeight w:val="255"/>
        </w:trPr>
        <w:tc>
          <w:tcPr>
            <w:tcW w:w="2320" w:type="dxa"/>
            <w:tcBorders>
              <w:top w:val="single" w:sz="4" w:space="0" w:color="auto"/>
              <w:left w:val="single" w:sz="8" w:space="0" w:color="auto"/>
              <w:bottom w:val="nil"/>
              <w:right w:val="single" w:sz="4" w:space="0" w:color="auto"/>
            </w:tcBorders>
            <w:shd w:val="clear" w:color="000000" w:fill="FFFFFF"/>
            <w:vAlign w:val="bottom"/>
            <w:hideMark/>
          </w:tcPr>
          <w:p w14:paraId="5ABB3247" w14:textId="77777777" w:rsidR="00AA6435" w:rsidRPr="00AA6435" w:rsidRDefault="00AA6435" w:rsidP="00AA6435">
            <w:pPr>
              <w:jc w:val="right"/>
              <w:rPr>
                <w:rFonts w:ascii="Arial" w:hAnsi="Arial" w:cs="Arial"/>
              </w:rPr>
            </w:pPr>
            <w:r w:rsidRPr="00AA6435">
              <w:rPr>
                <w:rFonts w:ascii="Arial" w:hAnsi="Arial" w:cs="Arial"/>
              </w:rPr>
              <w:t>Calendar Yr. 2013</w:t>
            </w:r>
          </w:p>
        </w:tc>
        <w:tc>
          <w:tcPr>
            <w:tcW w:w="2240" w:type="dxa"/>
            <w:tcBorders>
              <w:top w:val="nil"/>
              <w:left w:val="nil"/>
              <w:bottom w:val="single" w:sz="4" w:space="0" w:color="auto"/>
              <w:right w:val="single" w:sz="8" w:space="0" w:color="auto"/>
            </w:tcBorders>
            <w:shd w:val="clear" w:color="000000" w:fill="FFFFFF"/>
            <w:noWrap/>
            <w:vAlign w:val="bottom"/>
            <w:hideMark/>
          </w:tcPr>
          <w:p w14:paraId="5A84B185" w14:textId="77777777" w:rsidR="00AA6435" w:rsidRPr="00AA6435" w:rsidRDefault="00AA6435" w:rsidP="00AA6435">
            <w:pPr>
              <w:jc w:val="right"/>
              <w:rPr>
                <w:rFonts w:ascii="Arial" w:hAnsi="Arial" w:cs="Arial"/>
              </w:rPr>
            </w:pPr>
            <w:r w:rsidRPr="00AA6435">
              <w:rPr>
                <w:rFonts w:ascii="Arial" w:hAnsi="Arial" w:cs="Arial"/>
              </w:rPr>
              <w:t>$150</w:t>
            </w:r>
          </w:p>
        </w:tc>
      </w:tr>
      <w:tr w:rsidR="00AA6435" w:rsidRPr="00AA6435" w14:paraId="464264AA" w14:textId="77777777" w:rsidTr="00AA6435">
        <w:trPr>
          <w:trHeight w:val="255"/>
        </w:trPr>
        <w:tc>
          <w:tcPr>
            <w:tcW w:w="2320" w:type="dxa"/>
            <w:tcBorders>
              <w:top w:val="single" w:sz="4" w:space="0" w:color="auto"/>
              <w:left w:val="single" w:sz="8" w:space="0" w:color="auto"/>
              <w:bottom w:val="nil"/>
              <w:right w:val="single" w:sz="4" w:space="0" w:color="auto"/>
            </w:tcBorders>
            <w:shd w:val="clear" w:color="000000" w:fill="FFFFFF"/>
            <w:vAlign w:val="bottom"/>
            <w:hideMark/>
          </w:tcPr>
          <w:p w14:paraId="6FEB5EA2" w14:textId="77777777" w:rsidR="00AA6435" w:rsidRPr="00AA6435" w:rsidRDefault="00AA6435" w:rsidP="00AA6435">
            <w:pPr>
              <w:jc w:val="right"/>
              <w:rPr>
                <w:rFonts w:ascii="Arial" w:hAnsi="Arial" w:cs="Arial"/>
              </w:rPr>
            </w:pPr>
            <w:r w:rsidRPr="00AA6435">
              <w:rPr>
                <w:rFonts w:ascii="Arial" w:hAnsi="Arial" w:cs="Arial"/>
              </w:rPr>
              <w:t>Calendar Yr. 2014</w:t>
            </w:r>
          </w:p>
        </w:tc>
        <w:tc>
          <w:tcPr>
            <w:tcW w:w="2240" w:type="dxa"/>
            <w:tcBorders>
              <w:top w:val="nil"/>
              <w:left w:val="nil"/>
              <w:bottom w:val="single" w:sz="4" w:space="0" w:color="auto"/>
              <w:right w:val="single" w:sz="8" w:space="0" w:color="auto"/>
            </w:tcBorders>
            <w:shd w:val="clear" w:color="000000" w:fill="FFFFFF"/>
            <w:noWrap/>
            <w:vAlign w:val="bottom"/>
            <w:hideMark/>
          </w:tcPr>
          <w:p w14:paraId="339A6C88" w14:textId="77777777" w:rsidR="00AA6435" w:rsidRPr="00AA6435" w:rsidRDefault="00AA6435" w:rsidP="00AA6435">
            <w:pPr>
              <w:jc w:val="right"/>
              <w:rPr>
                <w:rFonts w:ascii="Arial" w:hAnsi="Arial" w:cs="Arial"/>
              </w:rPr>
            </w:pPr>
            <w:r w:rsidRPr="00AA6435">
              <w:rPr>
                <w:rFonts w:ascii="Arial" w:hAnsi="Arial" w:cs="Arial"/>
              </w:rPr>
              <w:t>$50</w:t>
            </w:r>
          </w:p>
        </w:tc>
      </w:tr>
      <w:tr w:rsidR="00AA6435" w:rsidRPr="00AA6435" w14:paraId="2DA2159F" w14:textId="77777777" w:rsidTr="00AA6435">
        <w:trPr>
          <w:trHeight w:val="255"/>
        </w:trPr>
        <w:tc>
          <w:tcPr>
            <w:tcW w:w="232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7C1C9DA1" w14:textId="77777777" w:rsidR="00AA6435" w:rsidRPr="00AA6435" w:rsidRDefault="00AA6435" w:rsidP="00AA6435">
            <w:pPr>
              <w:jc w:val="right"/>
              <w:rPr>
                <w:rFonts w:ascii="Arial" w:hAnsi="Arial" w:cs="Arial"/>
              </w:rPr>
            </w:pPr>
            <w:r w:rsidRPr="00AA6435">
              <w:rPr>
                <w:rFonts w:ascii="Arial" w:hAnsi="Arial" w:cs="Arial"/>
              </w:rPr>
              <w:t>Calendar Yr. 2015</w:t>
            </w:r>
          </w:p>
        </w:tc>
        <w:tc>
          <w:tcPr>
            <w:tcW w:w="2240" w:type="dxa"/>
            <w:tcBorders>
              <w:top w:val="nil"/>
              <w:left w:val="nil"/>
              <w:bottom w:val="single" w:sz="4" w:space="0" w:color="auto"/>
              <w:right w:val="single" w:sz="8" w:space="0" w:color="auto"/>
            </w:tcBorders>
            <w:shd w:val="clear" w:color="000000" w:fill="FFFFFF"/>
            <w:noWrap/>
            <w:vAlign w:val="bottom"/>
            <w:hideMark/>
          </w:tcPr>
          <w:p w14:paraId="70D81B74" w14:textId="77777777" w:rsidR="00AA6435" w:rsidRPr="00AA6435" w:rsidRDefault="00AA6435" w:rsidP="00AA6435">
            <w:pPr>
              <w:jc w:val="right"/>
              <w:rPr>
                <w:rFonts w:ascii="Arial" w:hAnsi="Arial" w:cs="Arial"/>
              </w:rPr>
            </w:pPr>
            <w:r w:rsidRPr="00AA6435">
              <w:rPr>
                <w:rFonts w:ascii="Arial" w:hAnsi="Arial" w:cs="Arial"/>
              </w:rPr>
              <w:t>$60</w:t>
            </w:r>
          </w:p>
        </w:tc>
      </w:tr>
      <w:tr w:rsidR="00AA6435" w:rsidRPr="00AA6435" w14:paraId="6667712F" w14:textId="77777777" w:rsidTr="00AA6435">
        <w:trPr>
          <w:trHeight w:val="255"/>
        </w:trPr>
        <w:tc>
          <w:tcPr>
            <w:tcW w:w="2320" w:type="dxa"/>
            <w:tcBorders>
              <w:top w:val="nil"/>
              <w:left w:val="single" w:sz="8" w:space="0" w:color="auto"/>
              <w:bottom w:val="single" w:sz="4" w:space="0" w:color="auto"/>
              <w:right w:val="single" w:sz="4" w:space="0" w:color="auto"/>
            </w:tcBorders>
            <w:shd w:val="clear" w:color="000000" w:fill="FFFFFF"/>
            <w:vAlign w:val="bottom"/>
            <w:hideMark/>
          </w:tcPr>
          <w:p w14:paraId="3E243E91" w14:textId="77777777" w:rsidR="00AA6435" w:rsidRPr="00AA6435" w:rsidRDefault="00AA6435" w:rsidP="00AA6435">
            <w:pPr>
              <w:jc w:val="right"/>
              <w:rPr>
                <w:rFonts w:ascii="Arial" w:hAnsi="Arial" w:cs="Arial"/>
              </w:rPr>
            </w:pPr>
            <w:r w:rsidRPr="00AA6435">
              <w:rPr>
                <w:rFonts w:ascii="Arial" w:hAnsi="Arial" w:cs="Arial"/>
              </w:rPr>
              <w:t>Calendar Yr. 2016</w:t>
            </w:r>
          </w:p>
        </w:tc>
        <w:tc>
          <w:tcPr>
            <w:tcW w:w="2240" w:type="dxa"/>
            <w:tcBorders>
              <w:top w:val="nil"/>
              <w:left w:val="nil"/>
              <w:bottom w:val="single" w:sz="4" w:space="0" w:color="auto"/>
              <w:right w:val="single" w:sz="8" w:space="0" w:color="auto"/>
            </w:tcBorders>
            <w:shd w:val="clear" w:color="000000" w:fill="FFFFFF"/>
            <w:noWrap/>
            <w:vAlign w:val="bottom"/>
            <w:hideMark/>
          </w:tcPr>
          <w:p w14:paraId="0F81174C" w14:textId="77777777" w:rsidR="00AA6435" w:rsidRPr="00AA6435" w:rsidRDefault="00AA6435" w:rsidP="00AA6435">
            <w:pPr>
              <w:jc w:val="right"/>
              <w:rPr>
                <w:rFonts w:ascii="Arial" w:hAnsi="Arial" w:cs="Arial"/>
              </w:rPr>
            </w:pPr>
            <w:r w:rsidRPr="00AA6435">
              <w:rPr>
                <w:rFonts w:ascii="Arial" w:hAnsi="Arial" w:cs="Arial"/>
              </w:rPr>
              <w:t>$25</w:t>
            </w:r>
          </w:p>
        </w:tc>
      </w:tr>
      <w:tr w:rsidR="00AA6435" w:rsidRPr="00AA6435" w14:paraId="0FE1E39A" w14:textId="77777777" w:rsidTr="00AA6435">
        <w:trPr>
          <w:trHeight w:val="255"/>
        </w:trPr>
        <w:tc>
          <w:tcPr>
            <w:tcW w:w="2320" w:type="dxa"/>
            <w:tcBorders>
              <w:top w:val="nil"/>
              <w:left w:val="single" w:sz="8" w:space="0" w:color="auto"/>
              <w:bottom w:val="single" w:sz="4" w:space="0" w:color="auto"/>
              <w:right w:val="single" w:sz="4" w:space="0" w:color="auto"/>
            </w:tcBorders>
            <w:shd w:val="clear" w:color="000000" w:fill="FFFFFF"/>
            <w:vAlign w:val="bottom"/>
            <w:hideMark/>
          </w:tcPr>
          <w:p w14:paraId="296E0938" w14:textId="77777777" w:rsidR="00AA6435" w:rsidRPr="00AA6435" w:rsidRDefault="00AA6435" w:rsidP="00AA6435">
            <w:pPr>
              <w:jc w:val="right"/>
              <w:rPr>
                <w:rFonts w:ascii="Arial" w:hAnsi="Arial" w:cs="Arial"/>
              </w:rPr>
            </w:pPr>
            <w:r w:rsidRPr="00AA6435">
              <w:rPr>
                <w:rFonts w:ascii="Arial" w:hAnsi="Arial" w:cs="Arial"/>
              </w:rPr>
              <w:t>Calendar Yr. 2017</w:t>
            </w:r>
          </w:p>
        </w:tc>
        <w:tc>
          <w:tcPr>
            <w:tcW w:w="2240" w:type="dxa"/>
            <w:tcBorders>
              <w:top w:val="nil"/>
              <w:left w:val="nil"/>
              <w:bottom w:val="single" w:sz="4" w:space="0" w:color="auto"/>
              <w:right w:val="single" w:sz="8" w:space="0" w:color="auto"/>
            </w:tcBorders>
            <w:shd w:val="clear" w:color="000000" w:fill="FFFFFF"/>
            <w:noWrap/>
            <w:vAlign w:val="bottom"/>
            <w:hideMark/>
          </w:tcPr>
          <w:p w14:paraId="7D646775" w14:textId="77777777" w:rsidR="00AA6435" w:rsidRPr="00AA6435" w:rsidRDefault="00AA6435" w:rsidP="00AA6435">
            <w:pPr>
              <w:jc w:val="right"/>
              <w:rPr>
                <w:rFonts w:ascii="Arial" w:hAnsi="Arial" w:cs="Arial"/>
              </w:rPr>
            </w:pPr>
            <w:r w:rsidRPr="00AA6435">
              <w:rPr>
                <w:rFonts w:ascii="Arial" w:hAnsi="Arial" w:cs="Arial"/>
              </w:rPr>
              <w:t>$0</w:t>
            </w:r>
          </w:p>
        </w:tc>
      </w:tr>
      <w:tr w:rsidR="00AA6435" w:rsidRPr="00AA6435" w14:paraId="41140A8A" w14:textId="77777777" w:rsidTr="00AA6435">
        <w:trPr>
          <w:trHeight w:val="255"/>
        </w:trPr>
        <w:tc>
          <w:tcPr>
            <w:tcW w:w="2320" w:type="dxa"/>
            <w:tcBorders>
              <w:top w:val="nil"/>
              <w:left w:val="single" w:sz="8" w:space="0" w:color="auto"/>
              <w:bottom w:val="single" w:sz="4" w:space="0" w:color="auto"/>
              <w:right w:val="single" w:sz="4" w:space="0" w:color="auto"/>
            </w:tcBorders>
            <w:shd w:val="clear" w:color="000000" w:fill="FFFFFF"/>
            <w:vAlign w:val="bottom"/>
            <w:hideMark/>
          </w:tcPr>
          <w:p w14:paraId="67E5343B" w14:textId="77777777" w:rsidR="00AA6435" w:rsidRPr="00AA6435" w:rsidRDefault="00AA6435" w:rsidP="00AA6435">
            <w:pPr>
              <w:jc w:val="right"/>
              <w:rPr>
                <w:rFonts w:ascii="Arial" w:hAnsi="Arial" w:cs="Arial"/>
              </w:rPr>
            </w:pPr>
            <w:r w:rsidRPr="00AA6435">
              <w:rPr>
                <w:rFonts w:ascii="Arial" w:hAnsi="Arial" w:cs="Arial"/>
              </w:rPr>
              <w:t>Calendar Yr. 2018</w:t>
            </w:r>
          </w:p>
        </w:tc>
        <w:tc>
          <w:tcPr>
            <w:tcW w:w="2240" w:type="dxa"/>
            <w:tcBorders>
              <w:top w:val="nil"/>
              <w:left w:val="nil"/>
              <w:bottom w:val="single" w:sz="4" w:space="0" w:color="auto"/>
              <w:right w:val="single" w:sz="8" w:space="0" w:color="auto"/>
            </w:tcBorders>
            <w:shd w:val="clear" w:color="000000" w:fill="FFFFFF"/>
            <w:noWrap/>
            <w:vAlign w:val="bottom"/>
            <w:hideMark/>
          </w:tcPr>
          <w:p w14:paraId="5F11987E" w14:textId="77777777" w:rsidR="00AA6435" w:rsidRPr="00AA6435" w:rsidRDefault="00AA6435" w:rsidP="00AA6435">
            <w:pPr>
              <w:jc w:val="right"/>
              <w:rPr>
                <w:rFonts w:ascii="Arial" w:hAnsi="Arial" w:cs="Arial"/>
              </w:rPr>
            </w:pPr>
            <w:r w:rsidRPr="00AA6435">
              <w:rPr>
                <w:rFonts w:ascii="Arial" w:hAnsi="Arial" w:cs="Arial"/>
              </w:rPr>
              <w:t>$0</w:t>
            </w:r>
          </w:p>
        </w:tc>
      </w:tr>
      <w:tr w:rsidR="00AA6435" w:rsidRPr="00AA6435" w14:paraId="498283B6" w14:textId="77777777" w:rsidTr="00AA6435">
        <w:trPr>
          <w:trHeight w:val="270"/>
        </w:trPr>
        <w:tc>
          <w:tcPr>
            <w:tcW w:w="2320" w:type="dxa"/>
            <w:tcBorders>
              <w:top w:val="nil"/>
              <w:left w:val="single" w:sz="8" w:space="0" w:color="auto"/>
              <w:bottom w:val="single" w:sz="8" w:space="0" w:color="auto"/>
              <w:right w:val="single" w:sz="4" w:space="0" w:color="auto"/>
            </w:tcBorders>
            <w:shd w:val="clear" w:color="000000" w:fill="FFFFFF"/>
            <w:vAlign w:val="bottom"/>
            <w:hideMark/>
          </w:tcPr>
          <w:p w14:paraId="38E53822" w14:textId="77777777" w:rsidR="00AA6435" w:rsidRPr="00AA6435" w:rsidRDefault="00AA6435" w:rsidP="00AA6435">
            <w:pPr>
              <w:jc w:val="right"/>
              <w:rPr>
                <w:rFonts w:ascii="Arial" w:hAnsi="Arial" w:cs="Arial"/>
              </w:rPr>
            </w:pPr>
            <w:r w:rsidRPr="00AA6435">
              <w:rPr>
                <w:rFonts w:ascii="Arial" w:hAnsi="Arial" w:cs="Arial"/>
              </w:rPr>
              <w:t>Calendar Yr. 2019</w:t>
            </w:r>
          </w:p>
        </w:tc>
        <w:tc>
          <w:tcPr>
            <w:tcW w:w="2240" w:type="dxa"/>
            <w:tcBorders>
              <w:top w:val="nil"/>
              <w:left w:val="nil"/>
              <w:bottom w:val="single" w:sz="8" w:space="0" w:color="auto"/>
              <w:right w:val="single" w:sz="8" w:space="0" w:color="auto"/>
            </w:tcBorders>
            <w:shd w:val="clear" w:color="000000" w:fill="FFFFFF"/>
            <w:noWrap/>
            <w:vAlign w:val="bottom"/>
            <w:hideMark/>
          </w:tcPr>
          <w:p w14:paraId="4CA74EB0" w14:textId="77777777" w:rsidR="00AA6435" w:rsidRPr="00AA6435" w:rsidRDefault="00AA6435" w:rsidP="00AA6435">
            <w:pPr>
              <w:jc w:val="right"/>
              <w:rPr>
                <w:rFonts w:ascii="Arial" w:hAnsi="Arial" w:cs="Arial"/>
              </w:rPr>
            </w:pPr>
            <w:r w:rsidRPr="00AA6435">
              <w:rPr>
                <w:rFonts w:ascii="Arial" w:hAnsi="Arial" w:cs="Arial"/>
              </w:rPr>
              <w:t>$0</w:t>
            </w:r>
          </w:p>
        </w:tc>
      </w:tr>
    </w:tbl>
    <w:p w14:paraId="4EA8B721" w14:textId="3AB51F87" w:rsidR="002544EA" w:rsidRDefault="00052C25" w:rsidP="003E2BA0">
      <w:pPr>
        <w:pStyle w:val="BodyText"/>
        <w:ind w:left="2700" w:hanging="2700"/>
        <w:jc w:val="both"/>
        <w:rPr>
          <w:rFonts w:ascii="Arial" w:hAnsi="Arial" w:cs="Arial"/>
        </w:rPr>
      </w:pPr>
      <w:r>
        <w:rPr>
          <w:rFonts w:ascii="Arial" w:hAnsi="Arial" w:cs="Arial"/>
        </w:rPr>
        <w:tab/>
      </w:r>
      <w:r>
        <w:rPr>
          <w:rFonts w:ascii="Arial" w:hAnsi="Arial" w:cs="Arial"/>
        </w:rPr>
        <w:tab/>
      </w:r>
    </w:p>
    <w:p w14:paraId="0889EE3B" w14:textId="1899DF35" w:rsidR="00AA6378" w:rsidRDefault="00AA6378">
      <w:pPr>
        <w:pStyle w:val="BodyText"/>
        <w:jc w:val="both"/>
        <w:rPr>
          <w:rFonts w:ascii="Arial" w:hAnsi="Arial" w:cs="Arial"/>
        </w:rPr>
      </w:pPr>
    </w:p>
    <w:p w14:paraId="0889EE6B" w14:textId="77777777" w:rsidR="00C202A8" w:rsidRDefault="00C202A8">
      <w:pPr>
        <w:pStyle w:val="BodyText"/>
        <w:jc w:val="both"/>
        <w:rPr>
          <w:rFonts w:ascii="Arial" w:hAnsi="Arial" w:cs="Arial"/>
        </w:rPr>
      </w:pPr>
    </w:p>
    <w:p w14:paraId="0889EE6C" w14:textId="77777777" w:rsidR="00F54D8D" w:rsidRDefault="001C073D" w:rsidP="00F54D8D">
      <w:pPr>
        <w:pStyle w:val="BodyText"/>
        <w:ind w:left="2790" w:hanging="900"/>
        <w:jc w:val="both"/>
        <w:rPr>
          <w:rFonts w:ascii="Arial" w:hAnsi="Arial" w:cs="Arial"/>
          <w:sz w:val="16"/>
          <w:szCs w:val="16"/>
        </w:rPr>
      </w:pPr>
      <w:r w:rsidRPr="001C073D">
        <w:rPr>
          <w:rFonts w:ascii="Arial" w:hAnsi="Arial" w:cs="Arial"/>
          <w:b/>
          <w:sz w:val="16"/>
          <w:szCs w:val="16"/>
        </w:rPr>
        <w:t>Footnote:</w:t>
      </w:r>
      <w:r w:rsidRPr="001C073D">
        <w:rPr>
          <w:rFonts w:ascii="Arial" w:hAnsi="Arial" w:cs="Arial"/>
          <w:sz w:val="16"/>
          <w:szCs w:val="16"/>
        </w:rPr>
        <w:t xml:space="preserve"> </w:t>
      </w:r>
      <w:r w:rsidR="00E305FE">
        <w:rPr>
          <w:rFonts w:ascii="Arial" w:hAnsi="Arial" w:cs="Arial"/>
          <w:sz w:val="16"/>
          <w:szCs w:val="16"/>
        </w:rPr>
        <w:t xml:space="preserve"> </w:t>
      </w:r>
      <w:r w:rsidRPr="001C073D">
        <w:rPr>
          <w:rFonts w:ascii="Arial" w:hAnsi="Arial" w:cs="Arial"/>
          <w:sz w:val="16"/>
          <w:szCs w:val="16"/>
        </w:rPr>
        <w:t>The Calendar Yr. 2010 figures contain $600 that was also reported in SFY10</w:t>
      </w:r>
    </w:p>
    <w:p w14:paraId="0889EE6D" w14:textId="77777777" w:rsidR="0005573D" w:rsidRPr="001C073D" w:rsidRDefault="001C073D" w:rsidP="00F54D8D">
      <w:pPr>
        <w:pStyle w:val="BodyText"/>
        <w:ind w:left="2790"/>
        <w:jc w:val="both"/>
        <w:rPr>
          <w:rFonts w:ascii="Arial" w:hAnsi="Arial" w:cs="Arial"/>
          <w:sz w:val="16"/>
          <w:szCs w:val="16"/>
        </w:rPr>
      </w:pPr>
      <w:r w:rsidRPr="001C073D">
        <w:rPr>
          <w:rFonts w:ascii="Arial" w:hAnsi="Arial" w:cs="Arial"/>
          <w:sz w:val="16"/>
          <w:szCs w:val="16"/>
        </w:rPr>
        <w:t xml:space="preserve">due to the change </w:t>
      </w:r>
      <w:r w:rsidR="00E305FE">
        <w:rPr>
          <w:rFonts w:ascii="Arial" w:hAnsi="Arial" w:cs="Arial"/>
          <w:sz w:val="16"/>
          <w:szCs w:val="16"/>
        </w:rPr>
        <w:t xml:space="preserve">in </w:t>
      </w:r>
      <w:r w:rsidRPr="001C073D">
        <w:rPr>
          <w:rFonts w:ascii="Arial" w:hAnsi="Arial" w:cs="Arial"/>
          <w:sz w:val="16"/>
          <w:szCs w:val="16"/>
        </w:rPr>
        <w:t xml:space="preserve">reporting </w:t>
      </w:r>
      <w:r>
        <w:rPr>
          <w:rFonts w:ascii="Arial" w:hAnsi="Arial" w:cs="Arial"/>
          <w:sz w:val="16"/>
          <w:szCs w:val="16"/>
        </w:rPr>
        <w:t>methodology from fiscal year to calendar year.</w:t>
      </w:r>
    </w:p>
    <w:p w14:paraId="0889EE6E" w14:textId="137EB4E6" w:rsidR="00C202A8" w:rsidRDefault="00C202A8" w:rsidP="00C202A8">
      <w:pPr>
        <w:pStyle w:val="BodyText"/>
        <w:ind w:left="2880"/>
        <w:jc w:val="both"/>
        <w:rPr>
          <w:rFonts w:ascii="Arial" w:hAnsi="Arial" w:cs="Arial"/>
        </w:rPr>
      </w:pPr>
    </w:p>
    <w:p w14:paraId="0889EE6F" w14:textId="77777777" w:rsidR="0005573D" w:rsidRDefault="0005573D">
      <w:pPr>
        <w:pStyle w:val="Header"/>
        <w:tabs>
          <w:tab w:val="clear" w:pos="4320"/>
          <w:tab w:val="clear" w:pos="8640"/>
        </w:tabs>
        <w:rPr>
          <w:rFonts w:cs="Arial"/>
        </w:rPr>
      </w:pPr>
      <w:r>
        <w:rPr>
          <w:rFonts w:cs="Arial"/>
        </w:rPr>
        <w:t xml:space="preserve"> </w:t>
      </w:r>
    </w:p>
    <w:p w14:paraId="0889EE70" w14:textId="270AAFAC" w:rsidR="0005573D" w:rsidRDefault="0005573D">
      <w:pPr>
        <w:jc w:val="both"/>
        <w:rPr>
          <w:rFonts w:ascii="Arial" w:hAnsi="Arial" w:cs="Arial"/>
          <w:sz w:val="24"/>
        </w:rPr>
      </w:pPr>
      <w:r>
        <w:rPr>
          <w:rFonts w:ascii="Arial" w:hAnsi="Arial" w:cs="Arial"/>
          <w:sz w:val="24"/>
        </w:rPr>
        <w:t xml:space="preserve">The contributions made to the fund were minimal in the first year of the fund’s </w:t>
      </w:r>
      <w:proofErr w:type="gramStart"/>
      <w:r>
        <w:rPr>
          <w:rFonts w:ascii="Arial" w:hAnsi="Arial" w:cs="Arial"/>
          <w:sz w:val="24"/>
        </w:rPr>
        <w:t>existence, but</w:t>
      </w:r>
      <w:proofErr w:type="gramEnd"/>
      <w:r>
        <w:rPr>
          <w:rFonts w:ascii="Arial" w:hAnsi="Arial" w:cs="Arial"/>
          <w:sz w:val="24"/>
        </w:rPr>
        <w:t xml:space="preserve"> increased in </w:t>
      </w:r>
      <w:r w:rsidR="002165EA">
        <w:rPr>
          <w:rFonts w:ascii="Arial" w:hAnsi="Arial" w:cs="Arial"/>
          <w:sz w:val="24"/>
        </w:rPr>
        <w:t>S</w:t>
      </w:r>
      <w:r>
        <w:rPr>
          <w:rFonts w:ascii="Arial" w:hAnsi="Arial" w:cs="Arial"/>
          <w:sz w:val="24"/>
        </w:rPr>
        <w:t xml:space="preserve">FY 2005.  The deposits in </w:t>
      </w:r>
      <w:r w:rsidR="002165EA">
        <w:rPr>
          <w:rFonts w:ascii="Arial" w:hAnsi="Arial" w:cs="Arial"/>
          <w:sz w:val="24"/>
        </w:rPr>
        <w:t>S</w:t>
      </w:r>
      <w:r>
        <w:rPr>
          <w:rFonts w:ascii="Arial" w:hAnsi="Arial" w:cs="Arial"/>
          <w:sz w:val="24"/>
        </w:rPr>
        <w:t xml:space="preserve">FY 2006 included a $2 million contribution from </w:t>
      </w:r>
      <w:proofErr w:type="spellStart"/>
      <w:r>
        <w:rPr>
          <w:rFonts w:ascii="Arial" w:hAnsi="Arial" w:cs="Arial"/>
          <w:sz w:val="24"/>
        </w:rPr>
        <w:t>ComEd</w:t>
      </w:r>
      <w:proofErr w:type="spellEnd"/>
      <w:r>
        <w:rPr>
          <w:rFonts w:ascii="Arial" w:hAnsi="Arial" w:cs="Arial"/>
          <w:sz w:val="24"/>
        </w:rPr>
        <w:t xml:space="preserve"> for use in Summer Energy Assistance Programs (Cooling) operated in the summers of 2005 and 2006.  Since </w:t>
      </w:r>
      <w:r w:rsidR="002165EA">
        <w:rPr>
          <w:rFonts w:ascii="Arial" w:hAnsi="Arial" w:cs="Arial"/>
          <w:sz w:val="24"/>
        </w:rPr>
        <w:t>S</w:t>
      </w:r>
      <w:r>
        <w:rPr>
          <w:rFonts w:ascii="Arial" w:hAnsi="Arial" w:cs="Arial"/>
          <w:sz w:val="24"/>
        </w:rPr>
        <w:t xml:space="preserve">FY 2005, excepting the donation from </w:t>
      </w:r>
      <w:proofErr w:type="spellStart"/>
      <w:r>
        <w:rPr>
          <w:rFonts w:ascii="Arial" w:hAnsi="Arial" w:cs="Arial"/>
          <w:sz w:val="24"/>
        </w:rPr>
        <w:t>ComEd</w:t>
      </w:r>
      <w:proofErr w:type="spellEnd"/>
      <w:r>
        <w:rPr>
          <w:rFonts w:ascii="Arial" w:hAnsi="Arial" w:cs="Arial"/>
          <w:sz w:val="24"/>
        </w:rPr>
        <w:t>, the contributions have decreased significantly.</w:t>
      </w:r>
      <w:r w:rsidR="003920A5">
        <w:rPr>
          <w:rFonts w:ascii="Arial" w:hAnsi="Arial" w:cs="Arial"/>
          <w:sz w:val="24"/>
        </w:rPr>
        <w:t xml:space="preserve">  </w:t>
      </w:r>
      <w:r w:rsidR="003920A5" w:rsidRPr="000C2D76">
        <w:rPr>
          <w:rFonts w:ascii="Arial" w:hAnsi="Arial" w:cs="Arial"/>
          <w:sz w:val="24"/>
        </w:rPr>
        <w:t xml:space="preserve">In calendar year 2012 there was a $28,500 statutory transfer </w:t>
      </w:r>
      <w:r w:rsidR="002165EA">
        <w:rPr>
          <w:rFonts w:ascii="Arial" w:hAnsi="Arial" w:cs="Arial"/>
          <w:sz w:val="24"/>
        </w:rPr>
        <w:t>which</w:t>
      </w:r>
      <w:r w:rsidR="003920A5" w:rsidRPr="000C2D76">
        <w:rPr>
          <w:rFonts w:ascii="Arial" w:hAnsi="Arial" w:cs="Arial"/>
          <w:sz w:val="24"/>
        </w:rPr>
        <w:t xml:space="preserve"> appears to be a repayment for a statutory transfer out in 2011 of the same </w:t>
      </w:r>
      <w:proofErr w:type="gramStart"/>
      <w:r w:rsidR="003920A5" w:rsidRPr="000C2D76">
        <w:rPr>
          <w:rFonts w:ascii="Arial" w:hAnsi="Arial" w:cs="Arial"/>
          <w:sz w:val="24"/>
        </w:rPr>
        <w:t>amount</w:t>
      </w:r>
      <w:proofErr w:type="gramEnd"/>
      <w:r w:rsidR="003920A5" w:rsidRPr="000C2D76">
        <w:rPr>
          <w:rFonts w:ascii="Arial" w:hAnsi="Arial" w:cs="Arial"/>
          <w:sz w:val="24"/>
        </w:rPr>
        <w:t>.</w:t>
      </w:r>
      <w:r w:rsidR="00064C9F" w:rsidRPr="000C2D76">
        <w:rPr>
          <w:rFonts w:ascii="Arial" w:hAnsi="Arial" w:cs="Arial"/>
          <w:sz w:val="24"/>
        </w:rPr>
        <w:t xml:space="preserve">  </w:t>
      </w:r>
      <w:r w:rsidR="00046E04">
        <w:rPr>
          <w:rFonts w:ascii="Arial" w:hAnsi="Arial" w:cs="Arial"/>
          <w:sz w:val="24"/>
        </w:rPr>
        <w:t>For this reason, t</w:t>
      </w:r>
      <w:r w:rsidR="00064C9F" w:rsidRPr="000C2D76">
        <w:rPr>
          <w:rFonts w:ascii="Arial" w:hAnsi="Arial" w:cs="Arial"/>
          <w:sz w:val="24"/>
        </w:rPr>
        <w:t>his statutory transfer was excluded from the 2012 annual deposits listing above.</w:t>
      </w:r>
    </w:p>
    <w:p w14:paraId="0889EE71" w14:textId="77777777" w:rsidR="0005573D" w:rsidRDefault="0005573D">
      <w:pPr>
        <w:jc w:val="both"/>
        <w:rPr>
          <w:rFonts w:ascii="Arial" w:hAnsi="Arial" w:cs="Arial"/>
          <w:sz w:val="24"/>
        </w:rPr>
      </w:pPr>
    </w:p>
    <w:p w14:paraId="0889EE72" w14:textId="77777777" w:rsidR="0005573D" w:rsidRDefault="0005573D">
      <w:pPr>
        <w:pStyle w:val="Heading8"/>
        <w:jc w:val="both"/>
        <w:rPr>
          <w:rFonts w:ascii="Arial" w:hAnsi="Arial" w:cs="Arial"/>
        </w:rPr>
      </w:pPr>
      <w:r>
        <w:rPr>
          <w:rFonts w:ascii="Arial" w:hAnsi="Arial" w:cs="Arial"/>
        </w:rPr>
        <w:t xml:space="preserve">Allocations </w:t>
      </w:r>
      <w:proofErr w:type="gramStart"/>
      <w:r>
        <w:rPr>
          <w:rFonts w:ascii="Arial" w:hAnsi="Arial" w:cs="Arial"/>
        </w:rPr>
        <w:t>From</w:t>
      </w:r>
      <w:proofErr w:type="gramEnd"/>
      <w:r>
        <w:rPr>
          <w:rFonts w:ascii="Arial" w:hAnsi="Arial" w:cs="Arial"/>
        </w:rPr>
        <w:t xml:space="preserve"> The Fund</w:t>
      </w:r>
    </w:p>
    <w:p w14:paraId="0889EE73" w14:textId="77777777" w:rsidR="0005573D" w:rsidRDefault="0005573D">
      <w:pPr>
        <w:jc w:val="both"/>
        <w:rPr>
          <w:rFonts w:ascii="Arial" w:hAnsi="Arial" w:cs="Arial"/>
          <w:b/>
          <w:sz w:val="24"/>
          <w:u w:val="single"/>
        </w:rPr>
      </w:pPr>
    </w:p>
    <w:p w14:paraId="0889EE74" w14:textId="77777777" w:rsidR="0005573D" w:rsidRDefault="0005573D">
      <w:pPr>
        <w:jc w:val="both"/>
        <w:rPr>
          <w:rFonts w:ascii="Arial" w:hAnsi="Arial" w:cs="Arial"/>
          <w:b/>
          <w:sz w:val="24"/>
          <w:u w:val="single"/>
        </w:rPr>
      </w:pPr>
      <w:r>
        <w:rPr>
          <w:rFonts w:ascii="Arial" w:hAnsi="Arial" w:cs="Arial"/>
          <w:sz w:val="24"/>
        </w:rPr>
        <w:t xml:space="preserve">Given the requirement that moneys donated for the Fund (other than moneys used for administrative expenses) are distributed to low-income consumers who reside in the county from which those moneys were received, all deposits are recorded and tracked by </w:t>
      </w:r>
      <w:r>
        <w:rPr>
          <w:rFonts w:ascii="Arial" w:hAnsi="Arial" w:cs="Arial"/>
          <w:sz w:val="24"/>
        </w:rPr>
        <w:lastRenderedPageBreak/>
        <w:t xml:space="preserve">county.  All funds received for each county are allocated to that </w:t>
      </w:r>
      <w:proofErr w:type="gramStart"/>
      <w:r>
        <w:rPr>
          <w:rFonts w:ascii="Arial" w:hAnsi="Arial" w:cs="Arial"/>
          <w:sz w:val="24"/>
        </w:rPr>
        <w:t>county, and</w:t>
      </w:r>
      <w:proofErr w:type="gramEnd"/>
      <w:r>
        <w:rPr>
          <w:rFonts w:ascii="Arial" w:hAnsi="Arial" w:cs="Arial"/>
          <w:sz w:val="24"/>
        </w:rPr>
        <w:t xml:space="preserve"> made available for use in assisting low–income households to pay their energy costs.  Since the balance available for each county is continually fluctuating based on the level of donations, the amount of available funds in each county is constantly monitored.  All requests from Local Administering Agencies (</w:t>
      </w:r>
      <w:r w:rsidR="000B0BEA">
        <w:rPr>
          <w:rFonts w:ascii="Arial" w:hAnsi="Arial" w:cs="Arial"/>
          <w:sz w:val="24"/>
        </w:rPr>
        <w:t xml:space="preserve">LAAs, </w:t>
      </w:r>
      <w:r w:rsidR="00125E6B">
        <w:rPr>
          <w:rFonts w:ascii="Arial" w:hAnsi="Arial" w:cs="Arial"/>
          <w:sz w:val="24"/>
        </w:rPr>
        <w:t>sub-</w:t>
      </w:r>
      <w:r>
        <w:rPr>
          <w:rFonts w:ascii="Arial" w:hAnsi="Arial" w:cs="Arial"/>
          <w:sz w:val="24"/>
        </w:rPr>
        <w:t>grantees who operate LIHEAP throughout the state) for use of these funds to assist clients must be evaluated against the amount of funds available in that county.</w:t>
      </w:r>
    </w:p>
    <w:p w14:paraId="0889EE75" w14:textId="77777777" w:rsidR="00CC5326" w:rsidRDefault="00CC5326">
      <w:pPr>
        <w:pStyle w:val="Heading8"/>
        <w:jc w:val="both"/>
        <w:rPr>
          <w:rFonts w:ascii="Arial" w:hAnsi="Arial" w:cs="Arial"/>
        </w:rPr>
      </w:pPr>
    </w:p>
    <w:p w14:paraId="0889EE76" w14:textId="77777777" w:rsidR="0005573D" w:rsidRDefault="0005573D">
      <w:pPr>
        <w:pStyle w:val="Heading8"/>
        <w:jc w:val="both"/>
        <w:rPr>
          <w:rFonts w:ascii="Arial" w:hAnsi="Arial" w:cs="Arial"/>
          <w:b w:val="0"/>
        </w:rPr>
      </w:pPr>
      <w:r>
        <w:rPr>
          <w:rFonts w:ascii="Arial" w:hAnsi="Arial" w:cs="Arial"/>
        </w:rPr>
        <w:t>Use of Funds</w:t>
      </w:r>
    </w:p>
    <w:p w14:paraId="0889EE77" w14:textId="77777777" w:rsidR="0005573D" w:rsidRDefault="0005573D">
      <w:pPr>
        <w:rPr>
          <w:rFonts w:ascii="Arial" w:hAnsi="Arial" w:cs="Arial"/>
          <w:b/>
          <w:sz w:val="24"/>
          <w:u w:val="single"/>
        </w:rPr>
      </w:pPr>
    </w:p>
    <w:p w14:paraId="0889EE78" w14:textId="77777777" w:rsidR="0005573D" w:rsidRDefault="0005573D">
      <w:pPr>
        <w:pStyle w:val="BodyText"/>
        <w:jc w:val="both"/>
        <w:rPr>
          <w:rFonts w:ascii="Arial" w:hAnsi="Arial" w:cs="Arial"/>
        </w:rPr>
      </w:pPr>
      <w:r>
        <w:rPr>
          <w:rFonts w:ascii="Arial" w:hAnsi="Arial" w:cs="Arial"/>
        </w:rPr>
        <w:t xml:space="preserve">The Department has used Good Samaritan Energy Trust Funds to support and augment its activities under the existing </w:t>
      </w:r>
      <w:proofErr w:type="gramStart"/>
      <w:r>
        <w:rPr>
          <w:rFonts w:ascii="Arial" w:hAnsi="Arial" w:cs="Arial"/>
        </w:rPr>
        <w:t>Low Income</w:t>
      </w:r>
      <w:proofErr w:type="gramEnd"/>
      <w:r>
        <w:rPr>
          <w:rFonts w:ascii="Arial" w:hAnsi="Arial" w:cs="Arial"/>
        </w:rPr>
        <w:t xml:space="preserve"> Home Energy Assistance Program authorized by the Energy Assistance Act of 1989.  The client applications for use of these funds are taken by the existing network of 35 </w:t>
      </w:r>
      <w:r w:rsidR="000B0BEA">
        <w:rPr>
          <w:rFonts w:ascii="Arial" w:hAnsi="Arial" w:cs="Arial"/>
        </w:rPr>
        <w:t>LAAs</w:t>
      </w:r>
      <w:r>
        <w:rPr>
          <w:rFonts w:ascii="Arial" w:hAnsi="Arial" w:cs="Arial"/>
        </w:rPr>
        <w:t xml:space="preserve"> </w:t>
      </w:r>
      <w:r w:rsidR="000B0BEA">
        <w:rPr>
          <w:rFonts w:ascii="Arial" w:hAnsi="Arial" w:cs="Arial"/>
        </w:rPr>
        <w:t xml:space="preserve">that </w:t>
      </w:r>
      <w:r>
        <w:rPr>
          <w:rFonts w:ascii="Arial" w:hAnsi="Arial" w:cs="Arial"/>
        </w:rPr>
        <w:t xml:space="preserve">operate the LIHEAP in all 102 counties throughout the state. Applications for use of the funds are taken under existing LIHEAP policies, procedures, and annual plans, which are all subject to review by the Policy Advisory Council established within the Energy Assistance Act.   </w:t>
      </w:r>
    </w:p>
    <w:p w14:paraId="0889EE79" w14:textId="77777777" w:rsidR="0005573D" w:rsidRDefault="0005573D">
      <w:pPr>
        <w:pStyle w:val="BodyText"/>
        <w:jc w:val="both"/>
        <w:rPr>
          <w:rFonts w:ascii="Arial" w:hAnsi="Arial" w:cs="Arial"/>
          <w:color w:val="FF0000"/>
        </w:rPr>
      </w:pPr>
    </w:p>
    <w:p w14:paraId="0889EE7A" w14:textId="77777777" w:rsidR="0005573D" w:rsidRDefault="0005573D">
      <w:pPr>
        <w:pStyle w:val="BodyText"/>
        <w:jc w:val="both"/>
        <w:rPr>
          <w:rFonts w:ascii="Arial" w:hAnsi="Arial" w:cs="Arial"/>
        </w:rPr>
      </w:pPr>
      <w:r>
        <w:rPr>
          <w:rFonts w:ascii="Arial" w:hAnsi="Arial" w:cs="Arial"/>
        </w:rPr>
        <w:t xml:space="preserve">The following table represents data on the numbers of households who received benefits from the Good Samaritan Energy Trust Fund by year and county.  This table represents the clearest impact of the Good Samaritan Energy Trust Fund in terms of actual numbers of families who benefit from the contributions to the fund.   </w:t>
      </w:r>
    </w:p>
    <w:p w14:paraId="0889EE7B" w14:textId="77777777" w:rsidR="0005573D" w:rsidRDefault="0005573D">
      <w:pPr>
        <w:pStyle w:val="BodyText"/>
        <w:rPr>
          <w:rFonts w:ascii="Arial" w:hAnsi="Arial" w:cs="Arial"/>
        </w:rPr>
      </w:pPr>
    </w:p>
    <w:p w14:paraId="0889EE7C" w14:textId="77777777" w:rsidR="0005573D" w:rsidRDefault="0005573D">
      <w:pPr>
        <w:pStyle w:val="BodyText"/>
        <w:rPr>
          <w:rFonts w:ascii="Arial" w:hAnsi="Arial" w:cs="Arial"/>
        </w:rPr>
      </w:pPr>
    </w:p>
    <w:p w14:paraId="291EBB9B" w14:textId="77777777" w:rsidR="00670F6A" w:rsidRDefault="00B301B0">
      <w:pPr>
        <w:pStyle w:val="BodyText"/>
        <w:rPr>
          <w:rFonts w:ascii="Arial" w:hAnsi="Arial" w:cs="Arial"/>
        </w:rPr>
      </w:pPr>
      <w:r>
        <w:rPr>
          <w:rFonts w:ascii="Arial" w:hAnsi="Arial" w:cs="Arial"/>
        </w:rPr>
        <w:tab/>
      </w:r>
    </w:p>
    <w:tbl>
      <w:tblPr>
        <w:tblW w:w="7180" w:type="dxa"/>
        <w:tblInd w:w="1505" w:type="dxa"/>
        <w:tblLook w:val="04A0" w:firstRow="1" w:lastRow="0" w:firstColumn="1" w:lastColumn="0" w:noHBand="0" w:noVBand="1"/>
      </w:tblPr>
      <w:tblGrid>
        <w:gridCol w:w="2320"/>
        <w:gridCol w:w="2240"/>
        <w:gridCol w:w="2620"/>
      </w:tblGrid>
      <w:tr w:rsidR="00AA6435" w:rsidRPr="00AA6435" w14:paraId="64CB3CBC" w14:textId="77777777" w:rsidTr="00AA6435">
        <w:trPr>
          <w:trHeight w:val="255"/>
        </w:trPr>
        <w:tc>
          <w:tcPr>
            <w:tcW w:w="7180" w:type="dxa"/>
            <w:gridSpan w:val="3"/>
            <w:tcBorders>
              <w:top w:val="single" w:sz="8" w:space="0" w:color="auto"/>
              <w:left w:val="single" w:sz="8" w:space="0" w:color="auto"/>
              <w:bottom w:val="nil"/>
              <w:right w:val="single" w:sz="8" w:space="0" w:color="000000"/>
            </w:tcBorders>
            <w:shd w:val="clear" w:color="auto" w:fill="auto"/>
            <w:vAlign w:val="bottom"/>
            <w:hideMark/>
          </w:tcPr>
          <w:p w14:paraId="3087CCDE" w14:textId="77777777" w:rsidR="00AA6435" w:rsidRPr="00AA6435" w:rsidRDefault="00AA6435" w:rsidP="00AA6435">
            <w:pPr>
              <w:jc w:val="center"/>
              <w:rPr>
                <w:rFonts w:ascii="Arial" w:hAnsi="Arial" w:cs="Arial"/>
                <w:b/>
                <w:bCs/>
              </w:rPr>
            </w:pPr>
            <w:r w:rsidRPr="00AA6435">
              <w:rPr>
                <w:rFonts w:ascii="Arial" w:hAnsi="Arial" w:cs="Arial"/>
                <w:b/>
                <w:bCs/>
              </w:rPr>
              <w:t xml:space="preserve">Households Assisted </w:t>
            </w:r>
            <w:proofErr w:type="gramStart"/>
            <w:r w:rsidRPr="00AA6435">
              <w:rPr>
                <w:rFonts w:ascii="Arial" w:hAnsi="Arial" w:cs="Arial"/>
                <w:b/>
                <w:bCs/>
              </w:rPr>
              <w:t>By</w:t>
            </w:r>
            <w:proofErr w:type="gramEnd"/>
            <w:r w:rsidRPr="00AA6435">
              <w:rPr>
                <w:rFonts w:ascii="Arial" w:hAnsi="Arial" w:cs="Arial"/>
                <w:b/>
                <w:bCs/>
              </w:rPr>
              <w:t xml:space="preserve"> Fiscal Year and County</w:t>
            </w:r>
          </w:p>
        </w:tc>
      </w:tr>
      <w:tr w:rsidR="00AA6435" w:rsidRPr="00AA6435" w14:paraId="3BC096D2" w14:textId="77777777" w:rsidTr="00AA6435">
        <w:trPr>
          <w:trHeight w:val="255"/>
        </w:trPr>
        <w:tc>
          <w:tcPr>
            <w:tcW w:w="23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3E5DB33" w14:textId="77777777" w:rsidR="00AA6435" w:rsidRPr="00AA6435" w:rsidRDefault="00AA6435" w:rsidP="00AA6435">
            <w:pPr>
              <w:jc w:val="center"/>
              <w:rPr>
                <w:rFonts w:ascii="Arial" w:hAnsi="Arial" w:cs="Arial"/>
              </w:rPr>
            </w:pPr>
            <w:r w:rsidRPr="00AA6435">
              <w:rPr>
                <w:rFonts w:ascii="Arial" w:hAnsi="Arial" w:cs="Arial"/>
              </w:rPr>
              <w:t>State Fiscal Year</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14:paraId="04172ABE" w14:textId="77777777" w:rsidR="00AA6435" w:rsidRPr="00AA6435" w:rsidRDefault="00AA6435" w:rsidP="00AA6435">
            <w:pPr>
              <w:jc w:val="center"/>
              <w:rPr>
                <w:rFonts w:ascii="Arial" w:hAnsi="Arial" w:cs="Arial"/>
              </w:rPr>
            </w:pPr>
            <w:r w:rsidRPr="00AA6435">
              <w:rPr>
                <w:rFonts w:ascii="Arial" w:hAnsi="Arial" w:cs="Arial"/>
              </w:rPr>
              <w:t>County</w:t>
            </w:r>
          </w:p>
        </w:tc>
        <w:tc>
          <w:tcPr>
            <w:tcW w:w="2620" w:type="dxa"/>
            <w:tcBorders>
              <w:top w:val="single" w:sz="4" w:space="0" w:color="auto"/>
              <w:left w:val="nil"/>
              <w:bottom w:val="single" w:sz="4" w:space="0" w:color="auto"/>
              <w:right w:val="single" w:sz="8" w:space="0" w:color="auto"/>
            </w:tcBorders>
            <w:shd w:val="clear" w:color="auto" w:fill="auto"/>
            <w:vAlign w:val="bottom"/>
            <w:hideMark/>
          </w:tcPr>
          <w:p w14:paraId="07CF6E21" w14:textId="77777777" w:rsidR="00AA6435" w:rsidRPr="00AA6435" w:rsidRDefault="00AA6435" w:rsidP="00AA6435">
            <w:pPr>
              <w:jc w:val="center"/>
              <w:rPr>
                <w:rFonts w:ascii="Arial" w:hAnsi="Arial" w:cs="Arial"/>
              </w:rPr>
            </w:pPr>
            <w:r w:rsidRPr="00AA6435">
              <w:rPr>
                <w:rFonts w:ascii="Arial" w:hAnsi="Arial" w:cs="Arial"/>
              </w:rPr>
              <w:t>Households Assisted</w:t>
            </w:r>
          </w:p>
        </w:tc>
      </w:tr>
      <w:tr w:rsidR="00AA6435" w:rsidRPr="00AA6435" w14:paraId="1E8BF2FA" w14:textId="77777777" w:rsidTr="00AA6435">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6666BDEB" w14:textId="77777777" w:rsidR="00AA6435" w:rsidRPr="00AA6435" w:rsidRDefault="00AA6435" w:rsidP="00AA6435">
            <w:pPr>
              <w:jc w:val="right"/>
              <w:rPr>
                <w:rFonts w:ascii="Arial" w:hAnsi="Arial" w:cs="Arial"/>
              </w:rPr>
            </w:pPr>
            <w:r w:rsidRPr="00AA6435">
              <w:rPr>
                <w:rFonts w:ascii="Arial" w:hAnsi="Arial" w:cs="Arial"/>
              </w:rPr>
              <w:t>SFY 2004</w:t>
            </w:r>
          </w:p>
        </w:tc>
        <w:tc>
          <w:tcPr>
            <w:tcW w:w="2240" w:type="dxa"/>
            <w:tcBorders>
              <w:top w:val="nil"/>
              <w:left w:val="nil"/>
              <w:bottom w:val="single" w:sz="4" w:space="0" w:color="auto"/>
              <w:right w:val="single" w:sz="4" w:space="0" w:color="auto"/>
            </w:tcBorders>
            <w:shd w:val="clear" w:color="auto" w:fill="auto"/>
            <w:vAlign w:val="bottom"/>
            <w:hideMark/>
          </w:tcPr>
          <w:p w14:paraId="0E90D317" w14:textId="77777777" w:rsidR="00AA6435" w:rsidRPr="00AA6435" w:rsidRDefault="00AA6435" w:rsidP="00AA6435">
            <w:pPr>
              <w:jc w:val="right"/>
              <w:rPr>
                <w:rFonts w:ascii="Arial" w:hAnsi="Arial" w:cs="Arial"/>
              </w:rPr>
            </w:pPr>
            <w:r w:rsidRPr="00AA6435">
              <w:rPr>
                <w:rFonts w:ascii="Arial" w:hAnsi="Arial" w:cs="Arial"/>
              </w:rPr>
              <w:t> </w:t>
            </w:r>
          </w:p>
        </w:tc>
        <w:tc>
          <w:tcPr>
            <w:tcW w:w="2620" w:type="dxa"/>
            <w:tcBorders>
              <w:top w:val="nil"/>
              <w:left w:val="nil"/>
              <w:bottom w:val="single" w:sz="4" w:space="0" w:color="auto"/>
              <w:right w:val="single" w:sz="8" w:space="0" w:color="auto"/>
            </w:tcBorders>
            <w:shd w:val="clear" w:color="auto" w:fill="auto"/>
            <w:vAlign w:val="bottom"/>
            <w:hideMark/>
          </w:tcPr>
          <w:p w14:paraId="64FED05A" w14:textId="77777777" w:rsidR="00AA6435" w:rsidRPr="00AA6435" w:rsidRDefault="00AA6435" w:rsidP="00AA6435">
            <w:pPr>
              <w:jc w:val="right"/>
              <w:rPr>
                <w:rFonts w:ascii="Arial" w:hAnsi="Arial" w:cs="Arial"/>
              </w:rPr>
            </w:pPr>
            <w:r w:rsidRPr="00AA6435">
              <w:rPr>
                <w:rFonts w:ascii="Arial" w:hAnsi="Arial" w:cs="Arial"/>
              </w:rPr>
              <w:t>0</w:t>
            </w:r>
          </w:p>
        </w:tc>
      </w:tr>
      <w:tr w:rsidR="00AA6435" w:rsidRPr="00AA6435" w14:paraId="143B2AAC" w14:textId="77777777" w:rsidTr="00AA6435">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79F511F8" w14:textId="77777777" w:rsidR="00AA6435" w:rsidRPr="00AA6435" w:rsidRDefault="00AA6435" w:rsidP="00AA6435">
            <w:pPr>
              <w:jc w:val="right"/>
              <w:rPr>
                <w:rFonts w:ascii="Arial" w:hAnsi="Arial" w:cs="Arial"/>
              </w:rPr>
            </w:pPr>
            <w:r w:rsidRPr="00AA6435">
              <w:rPr>
                <w:rFonts w:ascii="Arial" w:hAnsi="Arial" w:cs="Arial"/>
              </w:rPr>
              <w:t>SFY 2005</w:t>
            </w:r>
          </w:p>
        </w:tc>
        <w:tc>
          <w:tcPr>
            <w:tcW w:w="2240" w:type="dxa"/>
            <w:tcBorders>
              <w:top w:val="nil"/>
              <w:left w:val="nil"/>
              <w:bottom w:val="single" w:sz="4" w:space="0" w:color="auto"/>
              <w:right w:val="single" w:sz="4" w:space="0" w:color="auto"/>
            </w:tcBorders>
            <w:shd w:val="clear" w:color="auto" w:fill="auto"/>
            <w:vAlign w:val="bottom"/>
            <w:hideMark/>
          </w:tcPr>
          <w:p w14:paraId="49BF5D4A" w14:textId="77777777" w:rsidR="00AA6435" w:rsidRPr="00AA6435" w:rsidRDefault="00AA6435" w:rsidP="00AA6435">
            <w:pPr>
              <w:jc w:val="right"/>
              <w:rPr>
                <w:rFonts w:ascii="Arial" w:hAnsi="Arial" w:cs="Arial"/>
              </w:rPr>
            </w:pPr>
            <w:r w:rsidRPr="00AA6435">
              <w:rPr>
                <w:rFonts w:ascii="Arial" w:hAnsi="Arial" w:cs="Arial"/>
              </w:rPr>
              <w:t> </w:t>
            </w:r>
          </w:p>
        </w:tc>
        <w:tc>
          <w:tcPr>
            <w:tcW w:w="2620" w:type="dxa"/>
            <w:tcBorders>
              <w:top w:val="nil"/>
              <w:left w:val="nil"/>
              <w:bottom w:val="single" w:sz="4" w:space="0" w:color="auto"/>
              <w:right w:val="single" w:sz="8" w:space="0" w:color="auto"/>
            </w:tcBorders>
            <w:shd w:val="clear" w:color="auto" w:fill="auto"/>
            <w:vAlign w:val="bottom"/>
            <w:hideMark/>
          </w:tcPr>
          <w:p w14:paraId="4D6AC602" w14:textId="77777777" w:rsidR="00AA6435" w:rsidRPr="00AA6435" w:rsidRDefault="00AA6435" w:rsidP="00AA6435">
            <w:pPr>
              <w:jc w:val="right"/>
              <w:rPr>
                <w:rFonts w:ascii="Arial" w:hAnsi="Arial" w:cs="Arial"/>
              </w:rPr>
            </w:pPr>
            <w:r w:rsidRPr="00AA6435">
              <w:rPr>
                <w:rFonts w:ascii="Arial" w:hAnsi="Arial" w:cs="Arial"/>
              </w:rPr>
              <w:t>0</w:t>
            </w:r>
          </w:p>
        </w:tc>
      </w:tr>
      <w:tr w:rsidR="00AA6435" w:rsidRPr="00AA6435" w14:paraId="7FCE9DED" w14:textId="77777777" w:rsidTr="00AA6435">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3CE0CA32" w14:textId="77777777" w:rsidR="00AA6435" w:rsidRPr="00AA6435" w:rsidRDefault="00AA6435" w:rsidP="00AA6435">
            <w:pPr>
              <w:jc w:val="right"/>
              <w:rPr>
                <w:rFonts w:ascii="Arial" w:hAnsi="Arial" w:cs="Arial"/>
              </w:rPr>
            </w:pPr>
            <w:r w:rsidRPr="00AA6435">
              <w:rPr>
                <w:rFonts w:ascii="Arial" w:hAnsi="Arial" w:cs="Arial"/>
              </w:rPr>
              <w:t>SFY 2006</w:t>
            </w:r>
          </w:p>
        </w:tc>
        <w:tc>
          <w:tcPr>
            <w:tcW w:w="2240" w:type="dxa"/>
            <w:tcBorders>
              <w:top w:val="nil"/>
              <w:left w:val="nil"/>
              <w:bottom w:val="single" w:sz="4" w:space="0" w:color="auto"/>
              <w:right w:val="single" w:sz="4" w:space="0" w:color="auto"/>
            </w:tcBorders>
            <w:shd w:val="clear" w:color="auto" w:fill="auto"/>
            <w:vAlign w:val="bottom"/>
            <w:hideMark/>
          </w:tcPr>
          <w:p w14:paraId="16B9C578" w14:textId="77777777" w:rsidR="00AA6435" w:rsidRPr="00AA6435" w:rsidRDefault="00AA6435" w:rsidP="00AA6435">
            <w:pPr>
              <w:jc w:val="right"/>
              <w:rPr>
                <w:rFonts w:ascii="Arial" w:hAnsi="Arial" w:cs="Arial"/>
              </w:rPr>
            </w:pPr>
            <w:r w:rsidRPr="00AA6435">
              <w:rPr>
                <w:rFonts w:ascii="Arial" w:hAnsi="Arial" w:cs="Arial"/>
              </w:rPr>
              <w:t>Cook</w:t>
            </w:r>
          </w:p>
        </w:tc>
        <w:tc>
          <w:tcPr>
            <w:tcW w:w="2620" w:type="dxa"/>
            <w:tcBorders>
              <w:top w:val="nil"/>
              <w:left w:val="nil"/>
              <w:bottom w:val="single" w:sz="4" w:space="0" w:color="auto"/>
              <w:right w:val="single" w:sz="8" w:space="0" w:color="auto"/>
            </w:tcBorders>
            <w:shd w:val="clear" w:color="auto" w:fill="auto"/>
            <w:vAlign w:val="bottom"/>
            <w:hideMark/>
          </w:tcPr>
          <w:p w14:paraId="6FD9563F" w14:textId="77777777" w:rsidR="00AA6435" w:rsidRPr="00AA6435" w:rsidRDefault="00AA6435" w:rsidP="00AA6435">
            <w:pPr>
              <w:jc w:val="right"/>
              <w:rPr>
                <w:rFonts w:ascii="Arial" w:hAnsi="Arial" w:cs="Arial"/>
              </w:rPr>
            </w:pPr>
            <w:r w:rsidRPr="00AA6435">
              <w:rPr>
                <w:rFonts w:ascii="Arial" w:hAnsi="Arial" w:cs="Arial"/>
              </w:rPr>
              <w:t>976</w:t>
            </w:r>
          </w:p>
        </w:tc>
      </w:tr>
      <w:tr w:rsidR="00AA6435" w:rsidRPr="00AA6435" w14:paraId="3DE1E446" w14:textId="77777777" w:rsidTr="00AA6435">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348D94CB" w14:textId="77777777" w:rsidR="00AA6435" w:rsidRPr="00AA6435" w:rsidRDefault="00AA6435" w:rsidP="00AA6435">
            <w:pPr>
              <w:jc w:val="right"/>
              <w:rPr>
                <w:rFonts w:ascii="Arial" w:hAnsi="Arial" w:cs="Arial"/>
              </w:rPr>
            </w:pPr>
            <w:r w:rsidRPr="00AA6435">
              <w:rPr>
                <w:rFonts w:ascii="Arial" w:hAnsi="Arial" w:cs="Arial"/>
              </w:rPr>
              <w:t>SFY 2007</w:t>
            </w:r>
          </w:p>
        </w:tc>
        <w:tc>
          <w:tcPr>
            <w:tcW w:w="2240" w:type="dxa"/>
            <w:tcBorders>
              <w:top w:val="nil"/>
              <w:left w:val="nil"/>
              <w:bottom w:val="single" w:sz="4" w:space="0" w:color="auto"/>
              <w:right w:val="single" w:sz="4" w:space="0" w:color="auto"/>
            </w:tcBorders>
            <w:shd w:val="clear" w:color="auto" w:fill="auto"/>
            <w:vAlign w:val="bottom"/>
            <w:hideMark/>
          </w:tcPr>
          <w:p w14:paraId="369207CA" w14:textId="77777777" w:rsidR="00AA6435" w:rsidRPr="00AA6435" w:rsidRDefault="00AA6435" w:rsidP="00AA6435">
            <w:pPr>
              <w:jc w:val="right"/>
              <w:rPr>
                <w:rFonts w:ascii="Arial" w:hAnsi="Arial" w:cs="Arial"/>
              </w:rPr>
            </w:pPr>
            <w:r w:rsidRPr="00AA6435">
              <w:rPr>
                <w:rFonts w:ascii="Arial" w:hAnsi="Arial" w:cs="Arial"/>
              </w:rPr>
              <w:t>Champaign</w:t>
            </w:r>
          </w:p>
        </w:tc>
        <w:tc>
          <w:tcPr>
            <w:tcW w:w="2620" w:type="dxa"/>
            <w:tcBorders>
              <w:top w:val="nil"/>
              <w:left w:val="nil"/>
              <w:bottom w:val="single" w:sz="4" w:space="0" w:color="auto"/>
              <w:right w:val="single" w:sz="8" w:space="0" w:color="auto"/>
            </w:tcBorders>
            <w:shd w:val="clear" w:color="auto" w:fill="auto"/>
            <w:vAlign w:val="bottom"/>
            <w:hideMark/>
          </w:tcPr>
          <w:p w14:paraId="1B419445" w14:textId="77777777" w:rsidR="00AA6435" w:rsidRPr="00AA6435" w:rsidRDefault="00AA6435" w:rsidP="00AA6435">
            <w:pPr>
              <w:jc w:val="right"/>
              <w:rPr>
                <w:rFonts w:ascii="Arial" w:hAnsi="Arial" w:cs="Arial"/>
              </w:rPr>
            </w:pPr>
            <w:r w:rsidRPr="00AA6435">
              <w:rPr>
                <w:rFonts w:ascii="Arial" w:hAnsi="Arial" w:cs="Arial"/>
              </w:rPr>
              <w:t>1</w:t>
            </w:r>
          </w:p>
        </w:tc>
      </w:tr>
      <w:tr w:rsidR="00AA6435" w:rsidRPr="00AA6435" w14:paraId="20DBD430" w14:textId="77777777" w:rsidTr="00AA6435">
        <w:trPr>
          <w:trHeight w:val="255"/>
        </w:trPr>
        <w:tc>
          <w:tcPr>
            <w:tcW w:w="2320" w:type="dxa"/>
            <w:tcBorders>
              <w:top w:val="nil"/>
              <w:left w:val="single" w:sz="8" w:space="0" w:color="auto"/>
              <w:bottom w:val="nil"/>
              <w:right w:val="single" w:sz="4" w:space="0" w:color="auto"/>
            </w:tcBorders>
            <w:shd w:val="clear" w:color="auto" w:fill="auto"/>
            <w:vAlign w:val="bottom"/>
            <w:hideMark/>
          </w:tcPr>
          <w:p w14:paraId="1DFF16AA" w14:textId="77777777" w:rsidR="00AA6435" w:rsidRPr="00AA6435" w:rsidRDefault="00AA6435" w:rsidP="00AA6435">
            <w:pPr>
              <w:jc w:val="right"/>
              <w:rPr>
                <w:rFonts w:ascii="Arial" w:hAnsi="Arial" w:cs="Arial"/>
              </w:rPr>
            </w:pPr>
            <w:r w:rsidRPr="00AA6435">
              <w:rPr>
                <w:rFonts w:ascii="Arial" w:hAnsi="Arial" w:cs="Arial"/>
              </w:rPr>
              <w:t> </w:t>
            </w:r>
          </w:p>
        </w:tc>
        <w:tc>
          <w:tcPr>
            <w:tcW w:w="2240" w:type="dxa"/>
            <w:tcBorders>
              <w:top w:val="nil"/>
              <w:left w:val="nil"/>
              <w:bottom w:val="nil"/>
              <w:right w:val="single" w:sz="4" w:space="0" w:color="auto"/>
            </w:tcBorders>
            <w:shd w:val="clear" w:color="auto" w:fill="auto"/>
            <w:vAlign w:val="bottom"/>
            <w:hideMark/>
          </w:tcPr>
          <w:p w14:paraId="5E154B4D" w14:textId="77777777" w:rsidR="00AA6435" w:rsidRPr="00AA6435" w:rsidRDefault="00AA6435" w:rsidP="00AA6435">
            <w:pPr>
              <w:jc w:val="right"/>
              <w:rPr>
                <w:rFonts w:ascii="Arial" w:hAnsi="Arial" w:cs="Arial"/>
              </w:rPr>
            </w:pPr>
            <w:r w:rsidRPr="00AA6435">
              <w:rPr>
                <w:rFonts w:ascii="Arial" w:hAnsi="Arial" w:cs="Arial"/>
              </w:rPr>
              <w:t>Cook</w:t>
            </w:r>
          </w:p>
        </w:tc>
        <w:tc>
          <w:tcPr>
            <w:tcW w:w="2620" w:type="dxa"/>
            <w:tcBorders>
              <w:top w:val="nil"/>
              <w:left w:val="nil"/>
              <w:bottom w:val="nil"/>
              <w:right w:val="single" w:sz="8" w:space="0" w:color="auto"/>
            </w:tcBorders>
            <w:shd w:val="clear" w:color="auto" w:fill="auto"/>
            <w:vAlign w:val="bottom"/>
            <w:hideMark/>
          </w:tcPr>
          <w:p w14:paraId="71F6B71D" w14:textId="77777777" w:rsidR="00AA6435" w:rsidRPr="00AA6435" w:rsidRDefault="00AA6435" w:rsidP="00AA6435">
            <w:pPr>
              <w:jc w:val="right"/>
              <w:rPr>
                <w:rFonts w:ascii="Arial" w:hAnsi="Arial" w:cs="Arial"/>
              </w:rPr>
            </w:pPr>
            <w:r w:rsidRPr="00AA6435">
              <w:rPr>
                <w:rFonts w:ascii="Arial" w:hAnsi="Arial" w:cs="Arial"/>
              </w:rPr>
              <w:t>8,336</w:t>
            </w:r>
          </w:p>
        </w:tc>
      </w:tr>
      <w:tr w:rsidR="00AA6435" w:rsidRPr="00AA6435" w14:paraId="1F2E936B" w14:textId="77777777" w:rsidTr="00AA6435">
        <w:trPr>
          <w:trHeight w:val="255"/>
        </w:trPr>
        <w:tc>
          <w:tcPr>
            <w:tcW w:w="2320" w:type="dxa"/>
            <w:tcBorders>
              <w:top w:val="single" w:sz="4" w:space="0" w:color="auto"/>
              <w:left w:val="single" w:sz="8" w:space="0" w:color="auto"/>
              <w:bottom w:val="nil"/>
              <w:right w:val="single" w:sz="4" w:space="0" w:color="auto"/>
            </w:tcBorders>
            <w:shd w:val="clear" w:color="auto" w:fill="auto"/>
            <w:vAlign w:val="bottom"/>
            <w:hideMark/>
          </w:tcPr>
          <w:p w14:paraId="2C680AA2" w14:textId="77777777" w:rsidR="00AA6435" w:rsidRPr="00AA6435" w:rsidRDefault="00AA6435" w:rsidP="00AA6435">
            <w:pPr>
              <w:jc w:val="right"/>
              <w:rPr>
                <w:rFonts w:ascii="Arial" w:hAnsi="Arial" w:cs="Arial"/>
              </w:rPr>
            </w:pPr>
            <w:r w:rsidRPr="00AA6435">
              <w:rPr>
                <w:rFonts w:ascii="Arial" w:hAnsi="Arial" w:cs="Arial"/>
              </w:rPr>
              <w:t> </w:t>
            </w:r>
          </w:p>
        </w:tc>
        <w:tc>
          <w:tcPr>
            <w:tcW w:w="2240" w:type="dxa"/>
            <w:tcBorders>
              <w:top w:val="single" w:sz="4" w:space="0" w:color="auto"/>
              <w:left w:val="nil"/>
              <w:bottom w:val="nil"/>
              <w:right w:val="single" w:sz="4" w:space="0" w:color="auto"/>
            </w:tcBorders>
            <w:shd w:val="clear" w:color="auto" w:fill="auto"/>
            <w:vAlign w:val="bottom"/>
            <w:hideMark/>
          </w:tcPr>
          <w:p w14:paraId="2E6CB07C" w14:textId="77777777" w:rsidR="00AA6435" w:rsidRPr="00AA6435" w:rsidRDefault="00AA6435" w:rsidP="00AA6435">
            <w:pPr>
              <w:jc w:val="right"/>
              <w:rPr>
                <w:rFonts w:ascii="Arial" w:hAnsi="Arial" w:cs="Arial"/>
              </w:rPr>
            </w:pPr>
            <w:r w:rsidRPr="00AA6435">
              <w:rPr>
                <w:rFonts w:ascii="Arial" w:hAnsi="Arial" w:cs="Arial"/>
              </w:rPr>
              <w:t>Madison</w:t>
            </w:r>
          </w:p>
        </w:tc>
        <w:tc>
          <w:tcPr>
            <w:tcW w:w="2620" w:type="dxa"/>
            <w:tcBorders>
              <w:top w:val="single" w:sz="4" w:space="0" w:color="auto"/>
              <w:left w:val="nil"/>
              <w:bottom w:val="nil"/>
              <w:right w:val="single" w:sz="8" w:space="0" w:color="auto"/>
            </w:tcBorders>
            <w:shd w:val="clear" w:color="auto" w:fill="auto"/>
            <w:vAlign w:val="bottom"/>
            <w:hideMark/>
          </w:tcPr>
          <w:p w14:paraId="1ABB5167" w14:textId="77777777" w:rsidR="00AA6435" w:rsidRPr="00AA6435" w:rsidRDefault="00AA6435" w:rsidP="00AA6435">
            <w:pPr>
              <w:jc w:val="right"/>
              <w:rPr>
                <w:rFonts w:ascii="Arial" w:hAnsi="Arial" w:cs="Arial"/>
              </w:rPr>
            </w:pPr>
            <w:r w:rsidRPr="00AA6435">
              <w:rPr>
                <w:rFonts w:ascii="Arial" w:hAnsi="Arial" w:cs="Arial"/>
              </w:rPr>
              <w:t>4</w:t>
            </w:r>
          </w:p>
        </w:tc>
      </w:tr>
      <w:tr w:rsidR="00AA6435" w:rsidRPr="00AA6435" w14:paraId="6FE475FF" w14:textId="77777777" w:rsidTr="00AA6435">
        <w:trPr>
          <w:trHeight w:val="255"/>
        </w:trPr>
        <w:tc>
          <w:tcPr>
            <w:tcW w:w="2320" w:type="dxa"/>
            <w:tcBorders>
              <w:top w:val="single" w:sz="4" w:space="0" w:color="auto"/>
              <w:left w:val="single" w:sz="8" w:space="0" w:color="auto"/>
              <w:bottom w:val="nil"/>
              <w:right w:val="single" w:sz="4" w:space="0" w:color="auto"/>
            </w:tcBorders>
            <w:shd w:val="clear" w:color="auto" w:fill="auto"/>
            <w:vAlign w:val="bottom"/>
            <w:hideMark/>
          </w:tcPr>
          <w:p w14:paraId="58DA2FC9" w14:textId="77777777" w:rsidR="00AA6435" w:rsidRPr="00AA6435" w:rsidRDefault="00AA6435" w:rsidP="00AA6435">
            <w:pPr>
              <w:jc w:val="right"/>
              <w:rPr>
                <w:rFonts w:ascii="Arial" w:hAnsi="Arial" w:cs="Arial"/>
              </w:rPr>
            </w:pPr>
            <w:r w:rsidRPr="00AA6435">
              <w:rPr>
                <w:rFonts w:ascii="Arial" w:hAnsi="Arial" w:cs="Arial"/>
              </w:rPr>
              <w:t> </w:t>
            </w:r>
          </w:p>
        </w:tc>
        <w:tc>
          <w:tcPr>
            <w:tcW w:w="2240" w:type="dxa"/>
            <w:tcBorders>
              <w:top w:val="single" w:sz="4" w:space="0" w:color="auto"/>
              <w:left w:val="nil"/>
              <w:bottom w:val="nil"/>
              <w:right w:val="single" w:sz="4" w:space="0" w:color="auto"/>
            </w:tcBorders>
            <w:shd w:val="clear" w:color="auto" w:fill="auto"/>
            <w:vAlign w:val="bottom"/>
            <w:hideMark/>
          </w:tcPr>
          <w:p w14:paraId="45680989" w14:textId="77777777" w:rsidR="00AA6435" w:rsidRPr="00AA6435" w:rsidRDefault="00AA6435" w:rsidP="00AA6435">
            <w:pPr>
              <w:jc w:val="right"/>
              <w:rPr>
                <w:rFonts w:ascii="Arial" w:hAnsi="Arial" w:cs="Arial"/>
              </w:rPr>
            </w:pPr>
            <w:r w:rsidRPr="00AA6435">
              <w:rPr>
                <w:rFonts w:ascii="Arial" w:hAnsi="Arial" w:cs="Arial"/>
              </w:rPr>
              <w:t>Peoria</w:t>
            </w:r>
          </w:p>
        </w:tc>
        <w:tc>
          <w:tcPr>
            <w:tcW w:w="2620" w:type="dxa"/>
            <w:tcBorders>
              <w:top w:val="single" w:sz="4" w:space="0" w:color="auto"/>
              <w:left w:val="nil"/>
              <w:bottom w:val="nil"/>
              <w:right w:val="single" w:sz="8" w:space="0" w:color="auto"/>
            </w:tcBorders>
            <w:shd w:val="clear" w:color="auto" w:fill="auto"/>
            <w:vAlign w:val="bottom"/>
            <w:hideMark/>
          </w:tcPr>
          <w:p w14:paraId="4342AC9A" w14:textId="77777777" w:rsidR="00AA6435" w:rsidRPr="00AA6435" w:rsidRDefault="00AA6435" w:rsidP="00AA6435">
            <w:pPr>
              <w:jc w:val="right"/>
              <w:rPr>
                <w:rFonts w:ascii="Arial" w:hAnsi="Arial" w:cs="Arial"/>
              </w:rPr>
            </w:pPr>
            <w:r w:rsidRPr="00AA6435">
              <w:rPr>
                <w:rFonts w:ascii="Arial" w:hAnsi="Arial" w:cs="Arial"/>
              </w:rPr>
              <w:t>1</w:t>
            </w:r>
          </w:p>
        </w:tc>
      </w:tr>
      <w:tr w:rsidR="00AA6435" w:rsidRPr="00AA6435" w14:paraId="7CAE15D4" w14:textId="77777777" w:rsidTr="00AA6435">
        <w:trPr>
          <w:trHeight w:val="255"/>
        </w:trPr>
        <w:tc>
          <w:tcPr>
            <w:tcW w:w="23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A8FA09D" w14:textId="77777777" w:rsidR="00AA6435" w:rsidRPr="00AA6435" w:rsidRDefault="00AA6435" w:rsidP="00AA6435">
            <w:pPr>
              <w:jc w:val="right"/>
              <w:rPr>
                <w:rFonts w:ascii="Arial" w:hAnsi="Arial" w:cs="Arial"/>
              </w:rPr>
            </w:pPr>
            <w:r w:rsidRPr="00AA6435">
              <w:rPr>
                <w:rFonts w:ascii="Arial" w:hAnsi="Arial" w:cs="Arial"/>
              </w:rPr>
              <w:t>SFY 2008</w:t>
            </w:r>
          </w:p>
        </w:tc>
        <w:tc>
          <w:tcPr>
            <w:tcW w:w="2240" w:type="dxa"/>
            <w:tcBorders>
              <w:top w:val="single" w:sz="4" w:space="0" w:color="auto"/>
              <w:left w:val="nil"/>
              <w:bottom w:val="nil"/>
              <w:right w:val="single" w:sz="4" w:space="0" w:color="auto"/>
            </w:tcBorders>
            <w:shd w:val="clear" w:color="auto" w:fill="auto"/>
            <w:vAlign w:val="bottom"/>
            <w:hideMark/>
          </w:tcPr>
          <w:p w14:paraId="63116CF1" w14:textId="77777777" w:rsidR="00AA6435" w:rsidRPr="00AA6435" w:rsidRDefault="00AA6435" w:rsidP="00AA6435">
            <w:pPr>
              <w:jc w:val="right"/>
              <w:rPr>
                <w:rFonts w:ascii="Arial" w:hAnsi="Arial" w:cs="Arial"/>
              </w:rPr>
            </w:pPr>
            <w:r w:rsidRPr="00AA6435">
              <w:rPr>
                <w:rFonts w:ascii="Arial" w:hAnsi="Arial" w:cs="Arial"/>
              </w:rPr>
              <w:t>Statewide</w:t>
            </w:r>
          </w:p>
        </w:tc>
        <w:tc>
          <w:tcPr>
            <w:tcW w:w="2620" w:type="dxa"/>
            <w:tcBorders>
              <w:top w:val="single" w:sz="4" w:space="0" w:color="auto"/>
              <w:left w:val="nil"/>
              <w:bottom w:val="nil"/>
              <w:right w:val="single" w:sz="8" w:space="0" w:color="auto"/>
            </w:tcBorders>
            <w:shd w:val="clear" w:color="auto" w:fill="auto"/>
            <w:vAlign w:val="bottom"/>
            <w:hideMark/>
          </w:tcPr>
          <w:p w14:paraId="2E8D4573" w14:textId="77777777" w:rsidR="00AA6435" w:rsidRPr="00AA6435" w:rsidRDefault="00AA6435" w:rsidP="00AA6435">
            <w:pPr>
              <w:jc w:val="right"/>
              <w:rPr>
                <w:rFonts w:ascii="Arial" w:hAnsi="Arial" w:cs="Arial"/>
              </w:rPr>
            </w:pPr>
            <w:r w:rsidRPr="00AA6435">
              <w:rPr>
                <w:rFonts w:ascii="Arial" w:hAnsi="Arial" w:cs="Arial"/>
              </w:rPr>
              <w:t>0</w:t>
            </w:r>
          </w:p>
        </w:tc>
      </w:tr>
      <w:tr w:rsidR="00AA6435" w:rsidRPr="00AA6435" w14:paraId="7E9BC8D0" w14:textId="77777777" w:rsidTr="00AA6435">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3D886A0A" w14:textId="77777777" w:rsidR="00AA6435" w:rsidRPr="00AA6435" w:rsidRDefault="00AA6435" w:rsidP="00AA6435">
            <w:pPr>
              <w:jc w:val="right"/>
              <w:rPr>
                <w:rFonts w:ascii="Arial" w:hAnsi="Arial" w:cs="Arial"/>
              </w:rPr>
            </w:pPr>
            <w:r w:rsidRPr="00AA6435">
              <w:rPr>
                <w:rFonts w:ascii="Arial" w:hAnsi="Arial" w:cs="Arial"/>
              </w:rPr>
              <w:t>SFY 2009</w:t>
            </w:r>
          </w:p>
        </w:tc>
        <w:tc>
          <w:tcPr>
            <w:tcW w:w="2240" w:type="dxa"/>
            <w:tcBorders>
              <w:top w:val="single" w:sz="4" w:space="0" w:color="auto"/>
              <w:left w:val="nil"/>
              <w:bottom w:val="nil"/>
              <w:right w:val="single" w:sz="4" w:space="0" w:color="auto"/>
            </w:tcBorders>
            <w:shd w:val="clear" w:color="auto" w:fill="auto"/>
            <w:vAlign w:val="bottom"/>
            <w:hideMark/>
          </w:tcPr>
          <w:p w14:paraId="3558DD92" w14:textId="77777777" w:rsidR="00AA6435" w:rsidRPr="00AA6435" w:rsidRDefault="00AA6435" w:rsidP="00AA6435">
            <w:pPr>
              <w:jc w:val="right"/>
              <w:rPr>
                <w:rFonts w:ascii="Arial" w:hAnsi="Arial" w:cs="Arial"/>
              </w:rPr>
            </w:pPr>
            <w:r w:rsidRPr="00AA6435">
              <w:rPr>
                <w:rFonts w:ascii="Arial" w:hAnsi="Arial" w:cs="Arial"/>
              </w:rPr>
              <w:t>Statewide</w:t>
            </w:r>
          </w:p>
        </w:tc>
        <w:tc>
          <w:tcPr>
            <w:tcW w:w="2620" w:type="dxa"/>
            <w:tcBorders>
              <w:top w:val="single" w:sz="4" w:space="0" w:color="auto"/>
              <w:left w:val="nil"/>
              <w:bottom w:val="nil"/>
              <w:right w:val="single" w:sz="8" w:space="0" w:color="auto"/>
            </w:tcBorders>
            <w:shd w:val="clear" w:color="auto" w:fill="auto"/>
            <w:vAlign w:val="bottom"/>
            <w:hideMark/>
          </w:tcPr>
          <w:p w14:paraId="2D38FF02" w14:textId="77777777" w:rsidR="00AA6435" w:rsidRPr="00AA6435" w:rsidRDefault="00AA6435" w:rsidP="00AA6435">
            <w:pPr>
              <w:jc w:val="right"/>
              <w:rPr>
                <w:rFonts w:ascii="Arial" w:hAnsi="Arial" w:cs="Arial"/>
              </w:rPr>
            </w:pPr>
            <w:r w:rsidRPr="00AA6435">
              <w:rPr>
                <w:rFonts w:ascii="Arial" w:hAnsi="Arial" w:cs="Arial"/>
              </w:rPr>
              <w:t>0</w:t>
            </w:r>
          </w:p>
        </w:tc>
      </w:tr>
      <w:tr w:rsidR="00AA6435" w:rsidRPr="00AA6435" w14:paraId="7BF4CB62" w14:textId="77777777" w:rsidTr="00AA6435">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3973D2A4" w14:textId="77777777" w:rsidR="00AA6435" w:rsidRPr="00AA6435" w:rsidRDefault="00AA6435" w:rsidP="00AA6435">
            <w:pPr>
              <w:jc w:val="right"/>
              <w:rPr>
                <w:rFonts w:ascii="Arial" w:hAnsi="Arial" w:cs="Arial"/>
              </w:rPr>
            </w:pPr>
            <w:r w:rsidRPr="00AA6435">
              <w:rPr>
                <w:rFonts w:ascii="Arial" w:hAnsi="Arial" w:cs="Arial"/>
              </w:rPr>
              <w:t>SFY 2010</w:t>
            </w:r>
          </w:p>
        </w:tc>
        <w:tc>
          <w:tcPr>
            <w:tcW w:w="2240" w:type="dxa"/>
            <w:tcBorders>
              <w:top w:val="single" w:sz="4" w:space="0" w:color="auto"/>
              <w:left w:val="nil"/>
              <w:bottom w:val="nil"/>
              <w:right w:val="single" w:sz="4" w:space="0" w:color="auto"/>
            </w:tcBorders>
            <w:shd w:val="clear" w:color="auto" w:fill="auto"/>
            <w:vAlign w:val="bottom"/>
            <w:hideMark/>
          </w:tcPr>
          <w:p w14:paraId="2B64B9D1" w14:textId="77777777" w:rsidR="00AA6435" w:rsidRPr="00AA6435" w:rsidRDefault="00AA6435" w:rsidP="00AA6435">
            <w:pPr>
              <w:jc w:val="right"/>
              <w:rPr>
                <w:rFonts w:ascii="Arial" w:hAnsi="Arial" w:cs="Arial"/>
              </w:rPr>
            </w:pPr>
            <w:r w:rsidRPr="00AA6435">
              <w:rPr>
                <w:rFonts w:ascii="Arial" w:hAnsi="Arial" w:cs="Arial"/>
              </w:rPr>
              <w:t>Statewide</w:t>
            </w:r>
          </w:p>
        </w:tc>
        <w:tc>
          <w:tcPr>
            <w:tcW w:w="2620" w:type="dxa"/>
            <w:tcBorders>
              <w:top w:val="single" w:sz="4" w:space="0" w:color="auto"/>
              <w:left w:val="nil"/>
              <w:bottom w:val="nil"/>
              <w:right w:val="single" w:sz="8" w:space="0" w:color="auto"/>
            </w:tcBorders>
            <w:shd w:val="clear" w:color="auto" w:fill="auto"/>
            <w:vAlign w:val="bottom"/>
            <w:hideMark/>
          </w:tcPr>
          <w:p w14:paraId="52395167" w14:textId="77777777" w:rsidR="00AA6435" w:rsidRPr="00AA6435" w:rsidRDefault="00AA6435" w:rsidP="00AA6435">
            <w:pPr>
              <w:jc w:val="right"/>
              <w:rPr>
                <w:rFonts w:ascii="Arial" w:hAnsi="Arial" w:cs="Arial"/>
              </w:rPr>
            </w:pPr>
            <w:r w:rsidRPr="00AA6435">
              <w:rPr>
                <w:rFonts w:ascii="Arial" w:hAnsi="Arial" w:cs="Arial"/>
              </w:rPr>
              <w:t>0</w:t>
            </w:r>
          </w:p>
        </w:tc>
      </w:tr>
      <w:tr w:rsidR="00AA6435" w:rsidRPr="00AA6435" w14:paraId="2EE1C682" w14:textId="77777777" w:rsidTr="00AA6435">
        <w:trPr>
          <w:trHeight w:val="255"/>
        </w:trPr>
        <w:tc>
          <w:tcPr>
            <w:tcW w:w="2320" w:type="dxa"/>
            <w:tcBorders>
              <w:top w:val="nil"/>
              <w:left w:val="single" w:sz="8" w:space="0" w:color="auto"/>
              <w:bottom w:val="nil"/>
              <w:right w:val="single" w:sz="4" w:space="0" w:color="auto"/>
            </w:tcBorders>
            <w:shd w:val="clear" w:color="000000" w:fill="FFFFFF"/>
            <w:vAlign w:val="bottom"/>
            <w:hideMark/>
          </w:tcPr>
          <w:p w14:paraId="792B6F2D" w14:textId="77777777" w:rsidR="00AA6435" w:rsidRPr="00AA6435" w:rsidRDefault="00AA6435" w:rsidP="00AA6435">
            <w:pPr>
              <w:jc w:val="right"/>
              <w:rPr>
                <w:rFonts w:ascii="Arial" w:hAnsi="Arial" w:cs="Arial"/>
              </w:rPr>
            </w:pPr>
            <w:r w:rsidRPr="00AA6435">
              <w:rPr>
                <w:rFonts w:ascii="Arial" w:hAnsi="Arial" w:cs="Arial"/>
              </w:rPr>
              <w:t>Calendar Yr. 2010</w:t>
            </w:r>
          </w:p>
        </w:tc>
        <w:tc>
          <w:tcPr>
            <w:tcW w:w="2240" w:type="dxa"/>
            <w:tcBorders>
              <w:top w:val="single" w:sz="4" w:space="0" w:color="auto"/>
              <w:left w:val="nil"/>
              <w:bottom w:val="nil"/>
              <w:right w:val="single" w:sz="4" w:space="0" w:color="auto"/>
            </w:tcBorders>
            <w:shd w:val="clear" w:color="000000" w:fill="FFFFFF"/>
            <w:vAlign w:val="bottom"/>
            <w:hideMark/>
          </w:tcPr>
          <w:p w14:paraId="125505DD" w14:textId="77777777" w:rsidR="00AA6435" w:rsidRPr="00AA6435" w:rsidRDefault="00AA6435" w:rsidP="00AA6435">
            <w:pPr>
              <w:jc w:val="right"/>
              <w:rPr>
                <w:rFonts w:ascii="Arial" w:hAnsi="Arial" w:cs="Arial"/>
              </w:rPr>
            </w:pPr>
            <w:r w:rsidRPr="00AA6435">
              <w:rPr>
                <w:rFonts w:ascii="Arial" w:hAnsi="Arial" w:cs="Arial"/>
              </w:rPr>
              <w:t>Statewide</w:t>
            </w:r>
          </w:p>
        </w:tc>
        <w:tc>
          <w:tcPr>
            <w:tcW w:w="2620" w:type="dxa"/>
            <w:tcBorders>
              <w:top w:val="single" w:sz="4" w:space="0" w:color="auto"/>
              <w:left w:val="nil"/>
              <w:bottom w:val="nil"/>
              <w:right w:val="single" w:sz="8" w:space="0" w:color="auto"/>
            </w:tcBorders>
            <w:shd w:val="clear" w:color="000000" w:fill="FFFFFF"/>
            <w:vAlign w:val="bottom"/>
            <w:hideMark/>
          </w:tcPr>
          <w:p w14:paraId="62CEB424" w14:textId="77777777" w:rsidR="00AA6435" w:rsidRPr="00AA6435" w:rsidRDefault="00AA6435" w:rsidP="00AA6435">
            <w:pPr>
              <w:jc w:val="right"/>
              <w:rPr>
                <w:rFonts w:ascii="Arial" w:hAnsi="Arial" w:cs="Arial"/>
              </w:rPr>
            </w:pPr>
            <w:r w:rsidRPr="00AA6435">
              <w:rPr>
                <w:rFonts w:ascii="Arial" w:hAnsi="Arial" w:cs="Arial"/>
              </w:rPr>
              <w:t>0</w:t>
            </w:r>
          </w:p>
        </w:tc>
      </w:tr>
      <w:tr w:rsidR="00AA6435" w:rsidRPr="00AA6435" w14:paraId="566679E6" w14:textId="77777777" w:rsidTr="00AA6435">
        <w:trPr>
          <w:trHeight w:val="255"/>
        </w:trPr>
        <w:tc>
          <w:tcPr>
            <w:tcW w:w="2320" w:type="dxa"/>
            <w:tcBorders>
              <w:top w:val="single" w:sz="4" w:space="0" w:color="auto"/>
              <w:left w:val="single" w:sz="8" w:space="0" w:color="auto"/>
              <w:bottom w:val="nil"/>
              <w:right w:val="single" w:sz="4" w:space="0" w:color="auto"/>
            </w:tcBorders>
            <w:shd w:val="clear" w:color="000000" w:fill="FFFFFF"/>
            <w:vAlign w:val="bottom"/>
            <w:hideMark/>
          </w:tcPr>
          <w:p w14:paraId="2689459D" w14:textId="77777777" w:rsidR="00AA6435" w:rsidRPr="00AA6435" w:rsidRDefault="00AA6435" w:rsidP="00AA6435">
            <w:pPr>
              <w:jc w:val="right"/>
              <w:rPr>
                <w:rFonts w:ascii="Arial" w:hAnsi="Arial" w:cs="Arial"/>
              </w:rPr>
            </w:pPr>
            <w:r w:rsidRPr="00AA6435">
              <w:rPr>
                <w:rFonts w:ascii="Arial" w:hAnsi="Arial" w:cs="Arial"/>
              </w:rPr>
              <w:t>Calendar Yr. 2011</w:t>
            </w:r>
          </w:p>
        </w:tc>
        <w:tc>
          <w:tcPr>
            <w:tcW w:w="2240" w:type="dxa"/>
            <w:tcBorders>
              <w:top w:val="single" w:sz="4" w:space="0" w:color="auto"/>
              <w:left w:val="nil"/>
              <w:bottom w:val="nil"/>
              <w:right w:val="single" w:sz="4" w:space="0" w:color="auto"/>
            </w:tcBorders>
            <w:shd w:val="clear" w:color="000000" w:fill="FFFFFF"/>
            <w:vAlign w:val="bottom"/>
            <w:hideMark/>
          </w:tcPr>
          <w:p w14:paraId="7B407072" w14:textId="77777777" w:rsidR="00AA6435" w:rsidRPr="00AA6435" w:rsidRDefault="00AA6435" w:rsidP="00AA6435">
            <w:pPr>
              <w:jc w:val="right"/>
              <w:rPr>
                <w:rFonts w:ascii="Arial" w:hAnsi="Arial" w:cs="Arial"/>
              </w:rPr>
            </w:pPr>
            <w:r w:rsidRPr="00AA6435">
              <w:rPr>
                <w:rFonts w:ascii="Arial" w:hAnsi="Arial" w:cs="Arial"/>
              </w:rPr>
              <w:t>Statewide</w:t>
            </w:r>
          </w:p>
        </w:tc>
        <w:tc>
          <w:tcPr>
            <w:tcW w:w="2620" w:type="dxa"/>
            <w:tcBorders>
              <w:top w:val="single" w:sz="4" w:space="0" w:color="auto"/>
              <w:left w:val="nil"/>
              <w:bottom w:val="nil"/>
              <w:right w:val="single" w:sz="8" w:space="0" w:color="auto"/>
            </w:tcBorders>
            <w:shd w:val="clear" w:color="000000" w:fill="FFFFFF"/>
            <w:vAlign w:val="bottom"/>
            <w:hideMark/>
          </w:tcPr>
          <w:p w14:paraId="7226D280" w14:textId="77777777" w:rsidR="00AA6435" w:rsidRPr="00AA6435" w:rsidRDefault="00AA6435" w:rsidP="00AA6435">
            <w:pPr>
              <w:jc w:val="right"/>
              <w:rPr>
                <w:rFonts w:ascii="Arial" w:hAnsi="Arial" w:cs="Arial"/>
              </w:rPr>
            </w:pPr>
            <w:r w:rsidRPr="00AA6435">
              <w:rPr>
                <w:rFonts w:ascii="Arial" w:hAnsi="Arial" w:cs="Arial"/>
              </w:rPr>
              <w:t>0</w:t>
            </w:r>
          </w:p>
        </w:tc>
      </w:tr>
      <w:tr w:rsidR="00AA6435" w:rsidRPr="00AA6435" w14:paraId="22670BC3" w14:textId="77777777" w:rsidTr="00AA6435">
        <w:trPr>
          <w:trHeight w:val="255"/>
        </w:trPr>
        <w:tc>
          <w:tcPr>
            <w:tcW w:w="2320" w:type="dxa"/>
            <w:tcBorders>
              <w:top w:val="single" w:sz="4" w:space="0" w:color="auto"/>
              <w:left w:val="single" w:sz="8" w:space="0" w:color="auto"/>
              <w:bottom w:val="nil"/>
              <w:right w:val="single" w:sz="4" w:space="0" w:color="auto"/>
            </w:tcBorders>
            <w:shd w:val="clear" w:color="000000" w:fill="FFFFFF"/>
            <w:vAlign w:val="bottom"/>
            <w:hideMark/>
          </w:tcPr>
          <w:p w14:paraId="345F6112" w14:textId="77777777" w:rsidR="00AA6435" w:rsidRPr="00AA6435" w:rsidRDefault="00AA6435" w:rsidP="00AA6435">
            <w:pPr>
              <w:jc w:val="right"/>
              <w:rPr>
                <w:rFonts w:ascii="Arial" w:hAnsi="Arial" w:cs="Arial"/>
              </w:rPr>
            </w:pPr>
            <w:r w:rsidRPr="00AA6435">
              <w:rPr>
                <w:rFonts w:ascii="Arial" w:hAnsi="Arial" w:cs="Arial"/>
              </w:rPr>
              <w:t>Calendar Yr. 2012</w:t>
            </w:r>
          </w:p>
        </w:tc>
        <w:tc>
          <w:tcPr>
            <w:tcW w:w="2240" w:type="dxa"/>
            <w:tcBorders>
              <w:top w:val="single" w:sz="4" w:space="0" w:color="auto"/>
              <w:left w:val="nil"/>
              <w:bottom w:val="nil"/>
              <w:right w:val="single" w:sz="4" w:space="0" w:color="auto"/>
            </w:tcBorders>
            <w:shd w:val="clear" w:color="000000" w:fill="FFFFFF"/>
            <w:vAlign w:val="bottom"/>
            <w:hideMark/>
          </w:tcPr>
          <w:p w14:paraId="4A1BB453" w14:textId="77777777" w:rsidR="00AA6435" w:rsidRPr="00AA6435" w:rsidRDefault="00AA6435" w:rsidP="00AA6435">
            <w:pPr>
              <w:jc w:val="right"/>
              <w:rPr>
                <w:rFonts w:ascii="Arial" w:hAnsi="Arial" w:cs="Arial"/>
              </w:rPr>
            </w:pPr>
            <w:r w:rsidRPr="00AA6435">
              <w:rPr>
                <w:rFonts w:ascii="Arial" w:hAnsi="Arial" w:cs="Arial"/>
              </w:rPr>
              <w:t>Statewide</w:t>
            </w:r>
          </w:p>
        </w:tc>
        <w:tc>
          <w:tcPr>
            <w:tcW w:w="2620" w:type="dxa"/>
            <w:tcBorders>
              <w:top w:val="single" w:sz="4" w:space="0" w:color="auto"/>
              <w:left w:val="nil"/>
              <w:bottom w:val="nil"/>
              <w:right w:val="single" w:sz="8" w:space="0" w:color="auto"/>
            </w:tcBorders>
            <w:shd w:val="clear" w:color="000000" w:fill="FFFFFF"/>
            <w:vAlign w:val="bottom"/>
            <w:hideMark/>
          </w:tcPr>
          <w:p w14:paraId="23E1A441" w14:textId="77777777" w:rsidR="00AA6435" w:rsidRPr="00AA6435" w:rsidRDefault="00AA6435" w:rsidP="00AA6435">
            <w:pPr>
              <w:jc w:val="right"/>
              <w:rPr>
                <w:rFonts w:ascii="Arial" w:hAnsi="Arial" w:cs="Arial"/>
              </w:rPr>
            </w:pPr>
            <w:r w:rsidRPr="00AA6435">
              <w:rPr>
                <w:rFonts w:ascii="Arial" w:hAnsi="Arial" w:cs="Arial"/>
              </w:rPr>
              <w:t>0</w:t>
            </w:r>
          </w:p>
        </w:tc>
      </w:tr>
      <w:tr w:rsidR="00AA6435" w:rsidRPr="00AA6435" w14:paraId="4DC69764" w14:textId="77777777" w:rsidTr="00AA6435">
        <w:trPr>
          <w:trHeight w:val="255"/>
        </w:trPr>
        <w:tc>
          <w:tcPr>
            <w:tcW w:w="2320" w:type="dxa"/>
            <w:tcBorders>
              <w:top w:val="single" w:sz="4" w:space="0" w:color="auto"/>
              <w:left w:val="single" w:sz="8" w:space="0" w:color="auto"/>
              <w:bottom w:val="nil"/>
              <w:right w:val="single" w:sz="4" w:space="0" w:color="auto"/>
            </w:tcBorders>
            <w:shd w:val="clear" w:color="000000" w:fill="FFFFFF"/>
            <w:vAlign w:val="bottom"/>
            <w:hideMark/>
          </w:tcPr>
          <w:p w14:paraId="663AE984" w14:textId="77777777" w:rsidR="00AA6435" w:rsidRPr="00AA6435" w:rsidRDefault="00AA6435" w:rsidP="00AA6435">
            <w:pPr>
              <w:jc w:val="right"/>
              <w:rPr>
                <w:rFonts w:ascii="Arial" w:hAnsi="Arial" w:cs="Arial"/>
              </w:rPr>
            </w:pPr>
            <w:r w:rsidRPr="00AA6435">
              <w:rPr>
                <w:rFonts w:ascii="Arial" w:hAnsi="Arial" w:cs="Arial"/>
              </w:rPr>
              <w:t>Calendar Yr. 2013</w:t>
            </w:r>
          </w:p>
        </w:tc>
        <w:tc>
          <w:tcPr>
            <w:tcW w:w="2240" w:type="dxa"/>
            <w:tcBorders>
              <w:top w:val="single" w:sz="4" w:space="0" w:color="auto"/>
              <w:left w:val="nil"/>
              <w:bottom w:val="nil"/>
              <w:right w:val="single" w:sz="4" w:space="0" w:color="auto"/>
            </w:tcBorders>
            <w:shd w:val="clear" w:color="000000" w:fill="FFFFFF"/>
            <w:vAlign w:val="bottom"/>
            <w:hideMark/>
          </w:tcPr>
          <w:p w14:paraId="7D1D5733" w14:textId="77777777" w:rsidR="00AA6435" w:rsidRPr="00AA6435" w:rsidRDefault="00AA6435" w:rsidP="00AA6435">
            <w:pPr>
              <w:jc w:val="right"/>
              <w:rPr>
                <w:rFonts w:ascii="Arial" w:hAnsi="Arial" w:cs="Arial"/>
              </w:rPr>
            </w:pPr>
            <w:r w:rsidRPr="00AA6435">
              <w:rPr>
                <w:rFonts w:ascii="Arial" w:hAnsi="Arial" w:cs="Arial"/>
              </w:rPr>
              <w:t>Statewide</w:t>
            </w:r>
          </w:p>
        </w:tc>
        <w:tc>
          <w:tcPr>
            <w:tcW w:w="2620" w:type="dxa"/>
            <w:tcBorders>
              <w:top w:val="single" w:sz="4" w:space="0" w:color="auto"/>
              <w:left w:val="nil"/>
              <w:bottom w:val="nil"/>
              <w:right w:val="single" w:sz="8" w:space="0" w:color="auto"/>
            </w:tcBorders>
            <w:shd w:val="clear" w:color="000000" w:fill="FFFFFF"/>
            <w:vAlign w:val="bottom"/>
            <w:hideMark/>
          </w:tcPr>
          <w:p w14:paraId="69A72F18" w14:textId="77777777" w:rsidR="00AA6435" w:rsidRPr="00AA6435" w:rsidRDefault="00AA6435" w:rsidP="00AA6435">
            <w:pPr>
              <w:jc w:val="right"/>
              <w:rPr>
                <w:rFonts w:ascii="Arial" w:hAnsi="Arial" w:cs="Arial"/>
              </w:rPr>
            </w:pPr>
            <w:r w:rsidRPr="00AA6435">
              <w:rPr>
                <w:rFonts w:ascii="Arial" w:hAnsi="Arial" w:cs="Arial"/>
              </w:rPr>
              <w:t>0</w:t>
            </w:r>
          </w:p>
        </w:tc>
      </w:tr>
      <w:tr w:rsidR="00AA6435" w:rsidRPr="00AA6435" w14:paraId="0A0C1B6B" w14:textId="77777777" w:rsidTr="00AA6435">
        <w:trPr>
          <w:trHeight w:val="255"/>
        </w:trPr>
        <w:tc>
          <w:tcPr>
            <w:tcW w:w="2320" w:type="dxa"/>
            <w:tcBorders>
              <w:top w:val="single" w:sz="4" w:space="0" w:color="auto"/>
              <w:left w:val="single" w:sz="8" w:space="0" w:color="auto"/>
              <w:bottom w:val="nil"/>
              <w:right w:val="single" w:sz="4" w:space="0" w:color="auto"/>
            </w:tcBorders>
            <w:shd w:val="clear" w:color="000000" w:fill="FFFFFF"/>
            <w:vAlign w:val="bottom"/>
            <w:hideMark/>
          </w:tcPr>
          <w:p w14:paraId="56AAB1D7" w14:textId="77777777" w:rsidR="00AA6435" w:rsidRPr="00AA6435" w:rsidRDefault="00AA6435" w:rsidP="00AA6435">
            <w:pPr>
              <w:jc w:val="right"/>
              <w:rPr>
                <w:rFonts w:ascii="Arial" w:hAnsi="Arial" w:cs="Arial"/>
              </w:rPr>
            </w:pPr>
            <w:r w:rsidRPr="00AA6435">
              <w:rPr>
                <w:rFonts w:ascii="Arial" w:hAnsi="Arial" w:cs="Arial"/>
              </w:rPr>
              <w:t>Calendar Yr. 2014</w:t>
            </w:r>
          </w:p>
        </w:tc>
        <w:tc>
          <w:tcPr>
            <w:tcW w:w="2240" w:type="dxa"/>
            <w:tcBorders>
              <w:top w:val="single" w:sz="4" w:space="0" w:color="auto"/>
              <w:left w:val="nil"/>
              <w:bottom w:val="nil"/>
              <w:right w:val="single" w:sz="4" w:space="0" w:color="auto"/>
            </w:tcBorders>
            <w:shd w:val="clear" w:color="000000" w:fill="FFFFFF"/>
            <w:vAlign w:val="bottom"/>
            <w:hideMark/>
          </w:tcPr>
          <w:p w14:paraId="6D756F20" w14:textId="77777777" w:rsidR="00AA6435" w:rsidRPr="00AA6435" w:rsidRDefault="00AA6435" w:rsidP="00AA6435">
            <w:pPr>
              <w:jc w:val="right"/>
              <w:rPr>
                <w:rFonts w:ascii="Arial" w:hAnsi="Arial" w:cs="Arial"/>
              </w:rPr>
            </w:pPr>
            <w:r w:rsidRPr="00AA6435">
              <w:rPr>
                <w:rFonts w:ascii="Arial" w:hAnsi="Arial" w:cs="Arial"/>
              </w:rPr>
              <w:t>Statewide</w:t>
            </w:r>
          </w:p>
        </w:tc>
        <w:tc>
          <w:tcPr>
            <w:tcW w:w="2620" w:type="dxa"/>
            <w:tcBorders>
              <w:top w:val="single" w:sz="4" w:space="0" w:color="auto"/>
              <w:left w:val="nil"/>
              <w:bottom w:val="nil"/>
              <w:right w:val="single" w:sz="8" w:space="0" w:color="auto"/>
            </w:tcBorders>
            <w:shd w:val="clear" w:color="000000" w:fill="FFFFFF"/>
            <w:vAlign w:val="bottom"/>
            <w:hideMark/>
          </w:tcPr>
          <w:p w14:paraId="4D351FA7" w14:textId="77777777" w:rsidR="00AA6435" w:rsidRPr="00AA6435" w:rsidRDefault="00AA6435" w:rsidP="00AA6435">
            <w:pPr>
              <w:jc w:val="right"/>
              <w:rPr>
                <w:rFonts w:ascii="Arial" w:hAnsi="Arial" w:cs="Arial"/>
              </w:rPr>
            </w:pPr>
            <w:r w:rsidRPr="00AA6435">
              <w:rPr>
                <w:rFonts w:ascii="Arial" w:hAnsi="Arial" w:cs="Arial"/>
              </w:rPr>
              <w:t>0</w:t>
            </w:r>
          </w:p>
        </w:tc>
      </w:tr>
      <w:tr w:rsidR="00AA6435" w:rsidRPr="00AA6435" w14:paraId="4BEBBDFB" w14:textId="77777777" w:rsidTr="00AA6435">
        <w:trPr>
          <w:trHeight w:val="255"/>
        </w:trPr>
        <w:tc>
          <w:tcPr>
            <w:tcW w:w="232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0D8491DE" w14:textId="77777777" w:rsidR="00AA6435" w:rsidRPr="00AA6435" w:rsidRDefault="00AA6435" w:rsidP="00AA6435">
            <w:pPr>
              <w:jc w:val="right"/>
              <w:rPr>
                <w:rFonts w:ascii="Arial" w:hAnsi="Arial" w:cs="Arial"/>
              </w:rPr>
            </w:pPr>
            <w:r w:rsidRPr="00AA6435">
              <w:rPr>
                <w:rFonts w:ascii="Arial" w:hAnsi="Arial" w:cs="Arial"/>
              </w:rPr>
              <w:t>Calendar Yr. 2015</w:t>
            </w:r>
          </w:p>
        </w:tc>
        <w:tc>
          <w:tcPr>
            <w:tcW w:w="2240" w:type="dxa"/>
            <w:tcBorders>
              <w:top w:val="single" w:sz="4" w:space="0" w:color="auto"/>
              <w:left w:val="nil"/>
              <w:bottom w:val="single" w:sz="4" w:space="0" w:color="auto"/>
              <w:right w:val="single" w:sz="4" w:space="0" w:color="auto"/>
            </w:tcBorders>
            <w:shd w:val="clear" w:color="000000" w:fill="FFFFFF"/>
            <w:vAlign w:val="bottom"/>
            <w:hideMark/>
          </w:tcPr>
          <w:p w14:paraId="31DCBBC1" w14:textId="77777777" w:rsidR="00AA6435" w:rsidRPr="00AA6435" w:rsidRDefault="00AA6435" w:rsidP="00AA6435">
            <w:pPr>
              <w:jc w:val="right"/>
              <w:rPr>
                <w:rFonts w:ascii="Arial" w:hAnsi="Arial" w:cs="Arial"/>
              </w:rPr>
            </w:pPr>
            <w:r w:rsidRPr="00AA6435">
              <w:rPr>
                <w:rFonts w:ascii="Arial" w:hAnsi="Arial" w:cs="Arial"/>
              </w:rPr>
              <w:t>Statewide</w:t>
            </w:r>
          </w:p>
        </w:tc>
        <w:tc>
          <w:tcPr>
            <w:tcW w:w="2620" w:type="dxa"/>
            <w:tcBorders>
              <w:top w:val="single" w:sz="4" w:space="0" w:color="auto"/>
              <w:left w:val="nil"/>
              <w:bottom w:val="single" w:sz="4" w:space="0" w:color="auto"/>
              <w:right w:val="single" w:sz="8" w:space="0" w:color="auto"/>
            </w:tcBorders>
            <w:shd w:val="clear" w:color="000000" w:fill="FFFFFF"/>
            <w:vAlign w:val="bottom"/>
            <w:hideMark/>
          </w:tcPr>
          <w:p w14:paraId="7C1BA73D" w14:textId="77777777" w:rsidR="00AA6435" w:rsidRPr="00AA6435" w:rsidRDefault="00AA6435" w:rsidP="00AA6435">
            <w:pPr>
              <w:jc w:val="right"/>
              <w:rPr>
                <w:rFonts w:ascii="Arial" w:hAnsi="Arial" w:cs="Arial"/>
              </w:rPr>
            </w:pPr>
            <w:r w:rsidRPr="00AA6435">
              <w:rPr>
                <w:rFonts w:ascii="Arial" w:hAnsi="Arial" w:cs="Arial"/>
              </w:rPr>
              <w:t>0</w:t>
            </w:r>
          </w:p>
        </w:tc>
      </w:tr>
      <w:tr w:rsidR="00AA6435" w:rsidRPr="00AA6435" w14:paraId="4FF02738" w14:textId="77777777" w:rsidTr="00AA6435">
        <w:trPr>
          <w:trHeight w:val="255"/>
        </w:trPr>
        <w:tc>
          <w:tcPr>
            <w:tcW w:w="2320" w:type="dxa"/>
            <w:tcBorders>
              <w:top w:val="nil"/>
              <w:left w:val="single" w:sz="8" w:space="0" w:color="auto"/>
              <w:bottom w:val="single" w:sz="4" w:space="0" w:color="auto"/>
              <w:right w:val="single" w:sz="4" w:space="0" w:color="auto"/>
            </w:tcBorders>
            <w:shd w:val="clear" w:color="000000" w:fill="FFFFFF"/>
            <w:vAlign w:val="bottom"/>
            <w:hideMark/>
          </w:tcPr>
          <w:p w14:paraId="2DE41289" w14:textId="77777777" w:rsidR="00AA6435" w:rsidRPr="00AA6435" w:rsidRDefault="00AA6435" w:rsidP="00AA6435">
            <w:pPr>
              <w:jc w:val="right"/>
              <w:rPr>
                <w:rFonts w:ascii="Arial" w:hAnsi="Arial" w:cs="Arial"/>
              </w:rPr>
            </w:pPr>
            <w:r w:rsidRPr="00AA6435">
              <w:rPr>
                <w:rFonts w:ascii="Arial" w:hAnsi="Arial" w:cs="Arial"/>
              </w:rPr>
              <w:t>Calendar Yr. 2016</w:t>
            </w:r>
          </w:p>
        </w:tc>
        <w:tc>
          <w:tcPr>
            <w:tcW w:w="2240" w:type="dxa"/>
            <w:tcBorders>
              <w:top w:val="nil"/>
              <w:left w:val="nil"/>
              <w:bottom w:val="single" w:sz="4" w:space="0" w:color="auto"/>
              <w:right w:val="single" w:sz="4" w:space="0" w:color="auto"/>
            </w:tcBorders>
            <w:shd w:val="clear" w:color="000000" w:fill="FFFFFF"/>
            <w:vAlign w:val="bottom"/>
            <w:hideMark/>
          </w:tcPr>
          <w:p w14:paraId="21A7EF22" w14:textId="77777777" w:rsidR="00AA6435" w:rsidRPr="00AA6435" w:rsidRDefault="00AA6435" w:rsidP="00AA6435">
            <w:pPr>
              <w:jc w:val="right"/>
              <w:rPr>
                <w:rFonts w:ascii="Arial" w:hAnsi="Arial" w:cs="Arial"/>
              </w:rPr>
            </w:pPr>
            <w:r w:rsidRPr="00AA6435">
              <w:rPr>
                <w:rFonts w:ascii="Arial" w:hAnsi="Arial" w:cs="Arial"/>
              </w:rPr>
              <w:t>Statewide</w:t>
            </w:r>
          </w:p>
        </w:tc>
        <w:tc>
          <w:tcPr>
            <w:tcW w:w="2620" w:type="dxa"/>
            <w:tcBorders>
              <w:top w:val="nil"/>
              <w:left w:val="nil"/>
              <w:bottom w:val="single" w:sz="4" w:space="0" w:color="auto"/>
              <w:right w:val="single" w:sz="8" w:space="0" w:color="auto"/>
            </w:tcBorders>
            <w:shd w:val="clear" w:color="000000" w:fill="FFFFFF"/>
            <w:vAlign w:val="bottom"/>
            <w:hideMark/>
          </w:tcPr>
          <w:p w14:paraId="428DAB44" w14:textId="77777777" w:rsidR="00AA6435" w:rsidRPr="00AA6435" w:rsidRDefault="00AA6435" w:rsidP="00AA6435">
            <w:pPr>
              <w:jc w:val="right"/>
              <w:rPr>
                <w:rFonts w:ascii="Arial" w:hAnsi="Arial" w:cs="Arial"/>
              </w:rPr>
            </w:pPr>
            <w:r w:rsidRPr="00AA6435">
              <w:rPr>
                <w:rFonts w:ascii="Arial" w:hAnsi="Arial" w:cs="Arial"/>
              </w:rPr>
              <w:t>0</w:t>
            </w:r>
          </w:p>
        </w:tc>
      </w:tr>
      <w:tr w:rsidR="00AA6435" w:rsidRPr="00AA6435" w14:paraId="358311BE" w14:textId="77777777" w:rsidTr="00AA6435">
        <w:trPr>
          <w:trHeight w:val="255"/>
        </w:trPr>
        <w:tc>
          <w:tcPr>
            <w:tcW w:w="2320" w:type="dxa"/>
            <w:tcBorders>
              <w:top w:val="nil"/>
              <w:left w:val="single" w:sz="8" w:space="0" w:color="auto"/>
              <w:bottom w:val="single" w:sz="4" w:space="0" w:color="auto"/>
              <w:right w:val="single" w:sz="4" w:space="0" w:color="auto"/>
            </w:tcBorders>
            <w:shd w:val="clear" w:color="000000" w:fill="FFFFFF"/>
            <w:vAlign w:val="bottom"/>
            <w:hideMark/>
          </w:tcPr>
          <w:p w14:paraId="4B1D6F2D" w14:textId="77777777" w:rsidR="00AA6435" w:rsidRPr="00AA6435" w:rsidRDefault="00AA6435" w:rsidP="00AA6435">
            <w:pPr>
              <w:jc w:val="right"/>
              <w:rPr>
                <w:rFonts w:ascii="Arial" w:hAnsi="Arial" w:cs="Arial"/>
              </w:rPr>
            </w:pPr>
            <w:r w:rsidRPr="00AA6435">
              <w:rPr>
                <w:rFonts w:ascii="Arial" w:hAnsi="Arial" w:cs="Arial"/>
              </w:rPr>
              <w:t>Calendar Yr. 2017</w:t>
            </w:r>
          </w:p>
        </w:tc>
        <w:tc>
          <w:tcPr>
            <w:tcW w:w="2240" w:type="dxa"/>
            <w:tcBorders>
              <w:top w:val="nil"/>
              <w:left w:val="nil"/>
              <w:bottom w:val="single" w:sz="4" w:space="0" w:color="auto"/>
              <w:right w:val="single" w:sz="4" w:space="0" w:color="auto"/>
            </w:tcBorders>
            <w:shd w:val="clear" w:color="000000" w:fill="FFFFFF"/>
            <w:vAlign w:val="bottom"/>
            <w:hideMark/>
          </w:tcPr>
          <w:p w14:paraId="433EF766" w14:textId="77777777" w:rsidR="00AA6435" w:rsidRPr="00AA6435" w:rsidRDefault="00AA6435" w:rsidP="00AA6435">
            <w:pPr>
              <w:jc w:val="right"/>
              <w:rPr>
                <w:rFonts w:ascii="Arial" w:hAnsi="Arial" w:cs="Arial"/>
              </w:rPr>
            </w:pPr>
            <w:r w:rsidRPr="00AA6435">
              <w:rPr>
                <w:rFonts w:ascii="Arial" w:hAnsi="Arial" w:cs="Arial"/>
              </w:rPr>
              <w:t>Statewide</w:t>
            </w:r>
          </w:p>
        </w:tc>
        <w:tc>
          <w:tcPr>
            <w:tcW w:w="2620" w:type="dxa"/>
            <w:tcBorders>
              <w:top w:val="nil"/>
              <w:left w:val="nil"/>
              <w:bottom w:val="single" w:sz="4" w:space="0" w:color="auto"/>
              <w:right w:val="single" w:sz="8" w:space="0" w:color="auto"/>
            </w:tcBorders>
            <w:shd w:val="clear" w:color="000000" w:fill="FFFFFF"/>
            <w:vAlign w:val="bottom"/>
            <w:hideMark/>
          </w:tcPr>
          <w:p w14:paraId="61A5ED07" w14:textId="77777777" w:rsidR="00AA6435" w:rsidRPr="00AA6435" w:rsidRDefault="00AA6435" w:rsidP="00AA6435">
            <w:pPr>
              <w:jc w:val="right"/>
              <w:rPr>
                <w:rFonts w:ascii="Arial" w:hAnsi="Arial" w:cs="Arial"/>
              </w:rPr>
            </w:pPr>
            <w:r w:rsidRPr="00AA6435">
              <w:rPr>
                <w:rFonts w:ascii="Arial" w:hAnsi="Arial" w:cs="Arial"/>
              </w:rPr>
              <w:t>0</w:t>
            </w:r>
          </w:p>
        </w:tc>
      </w:tr>
      <w:tr w:rsidR="00AA6435" w:rsidRPr="00AA6435" w14:paraId="2A35677B" w14:textId="77777777" w:rsidTr="00AA6435">
        <w:trPr>
          <w:trHeight w:val="255"/>
        </w:trPr>
        <w:tc>
          <w:tcPr>
            <w:tcW w:w="2320" w:type="dxa"/>
            <w:tcBorders>
              <w:top w:val="nil"/>
              <w:left w:val="single" w:sz="8" w:space="0" w:color="auto"/>
              <w:bottom w:val="single" w:sz="4" w:space="0" w:color="auto"/>
              <w:right w:val="single" w:sz="4" w:space="0" w:color="auto"/>
            </w:tcBorders>
            <w:shd w:val="clear" w:color="000000" w:fill="FFFFFF"/>
            <w:vAlign w:val="bottom"/>
            <w:hideMark/>
          </w:tcPr>
          <w:p w14:paraId="004C6498" w14:textId="77777777" w:rsidR="00AA6435" w:rsidRPr="00AA6435" w:rsidRDefault="00AA6435" w:rsidP="00AA6435">
            <w:pPr>
              <w:jc w:val="right"/>
              <w:rPr>
                <w:rFonts w:ascii="Arial" w:hAnsi="Arial" w:cs="Arial"/>
              </w:rPr>
            </w:pPr>
            <w:r w:rsidRPr="00AA6435">
              <w:rPr>
                <w:rFonts w:ascii="Arial" w:hAnsi="Arial" w:cs="Arial"/>
              </w:rPr>
              <w:t>Calendar Yr. 2018</w:t>
            </w:r>
          </w:p>
        </w:tc>
        <w:tc>
          <w:tcPr>
            <w:tcW w:w="2240" w:type="dxa"/>
            <w:tcBorders>
              <w:top w:val="nil"/>
              <w:left w:val="nil"/>
              <w:bottom w:val="single" w:sz="4" w:space="0" w:color="auto"/>
              <w:right w:val="single" w:sz="4" w:space="0" w:color="auto"/>
            </w:tcBorders>
            <w:shd w:val="clear" w:color="000000" w:fill="FFFFFF"/>
            <w:vAlign w:val="bottom"/>
            <w:hideMark/>
          </w:tcPr>
          <w:p w14:paraId="0DBBC209" w14:textId="77777777" w:rsidR="00AA6435" w:rsidRPr="00AA6435" w:rsidRDefault="00AA6435" w:rsidP="00AA6435">
            <w:pPr>
              <w:jc w:val="right"/>
              <w:rPr>
                <w:rFonts w:ascii="Arial" w:hAnsi="Arial" w:cs="Arial"/>
              </w:rPr>
            </w:pPr>
            <w:r w:rsidRPr="00AA6435">
              <w:rPr>
                <w:rFonts w:ascii="Arial" w:hAnsi="Arial" w:cs="Arial"/>
              </w:rPr>
              <w:t>Statewide</w:t>
            </w:r>
          </w:p>
        </w:tc>
        <w:tc>
          <w:tcPr>
            <w:tcW w:w="2620" w:type="dxa"/>
            <w:tcBorders>
              <w:top w:val="nil"/>
              <w:left w:val="nil"/>
              <w:bottom w:val="single" w:sz="4" w:space="0" w:color="auto"/>
              <w:right w:val="single" w:sz="8" w:space="0" w:color="auto"/>
            </w:tcBorders>
            <w:shd w:val="clear" w:color="000000" w:fill="FFFFFF"/>
            <w:vAlign w:val="bottom"/>
            <w:hideMark/>
          </w:tcPr>
          <w:p w14:paraId="770F8A31" w14:textId="77777777" w:rsidR="00AA6435" w:rsidRPr="00AA6435" w:rsidRDefault="00AA6435" w:rsidP="00AA6435">
            <w:pPr>
              <w:jc w:val="right"/>
              <w:rPr>
                <w:rFonts w:ascii="Arial" w:hAnsi="Arial" w:cs="Arial"/>
              </w:rPr>
            </w:pPr>
            <w:r w:rsidRPr="00AA6435">
              <w:rPr>
                <w:rFonts w:ascii="Arial" w:hAnsi="Arial" w:cs="Arial"/>
              </w:rPr>
              <w:t>0</w:t>
            </w:r>
          </w:p>
        </w:tc>
      </w:tr>
      <w:tr w:rsidR="00AA6435" w:rsidRPr="00AA6435" w14:paraId="6FFAB2DB" w14:textId="77777777" w:rsidTr="00AA6435">
        <w:trPr>
          <w:trHeight w:val="270"/>
        </w:trPr>
        <w:tc>
          <w:tcPr>
            <w:tcW w:w="2320" w:type="dxa"/>
            <w:tcBorders>
              <w:top w:val="nil"/>
              <w:left w:val="single" w:sz="8" w:space="0" w:color="auto"/>
              <w:bottom w:val="single" w:sz="8" w:space="0" w:color="auto"/>
              <w:right w:val="single" w:sz="4" w:space="0" w:color="auto"/>
            </w:tcBorders>
            <w:shd w:val="clear" w:color="000000" w:fill="FFFFFF"/>
            <w:vAlign w:val="bottom"/>
            <w:hideMark/>
          </w:tcPr>
          <w:p w14:paraId="5DCF921A" w14:textId="77777777" w:rsidR="00AA6435" w:rsidRPr="00AA6435" w:rsidRDefault="00AA6435" w:rsidP="00AA6435">
            <w:pPr>
              <w:jc w:val="right"/>
              <w:rPr>
                <w:rFonts w:ascii="Arial" w:hAnsi="Arial" w:cs="Arial"/>
              </w:rPr>
            </w:pPr>
            <w:r w:rsidRPr="00AA6435">
              <w:rPr>
                <w:rFonts w:ascii="Arial" w:hAnsi="Arial" w:cs="Arial"/>
              </w:rPr>
              <w:t>Calendar Yr. 2019</w:t>
            </w:r>
          </w:p>
        </w:tc>
        <w:tc>
          <w:tcPr>
            <w:tcW w:w="2240" w:type="dxa"/>
            <w:tcBorders>
              <w:top w:val="nil"/>
              <w:left w:val="nil"/>
              <w:bottom w:val="single" w:sz="8" w:space="0" w:color="auto"/>
              <w:right w:val="single" w:sz="4" w:space="0" w:color="auto"/>
            </w:tcBorders>
            <w:shd w:val="clear" w:color="000000" w:fill="FFFFFF"/>
            <w:vAlign w:val="bottom"/>
            <w:hideMark/>
          </w:tcPr>
          <w:p w14:paraId="7F24E707" w14:textId="77777777" w:rsidR="00AA6435" w:rsidRPr="00AA6435" w:rsidRDefault="00AA6435" w:rsidP="00AA6435">
            <w:pPr>
              <w:jc w:val="right"/>
              <w:rPr>
                <w:rFonts w:ascii="Arial" w:hAnsi="Arial" w:cs="Arial"/>
              </w:rPr>
            </w:pPr>
            <w:r w:rsidRPr="00AA6435">
              <w:rPr>
                <w:rFonts w:ascii="Arial" w:hAnsi="Arial" w:cs="Arial"/>
              </w:rPr>
              <w:t>Statewide</w:t>
            </w:r>
          </w:p>
        </w:tc>
        <w:tc>
          <w:tcPr>
            <w:tcW w:w="2620" w:type="dxa"/>
            <w:tcBorders>
              <w:top w:val="nil"/>
              <w:left w:val="nil"/>
              <w:bottom w:val="single" w:sz="8" w:space="0" w:color="auto"/>
              <w:right w:val="single" w:sz="8" w:space="0" w:color="auto"/>
            </w:tcBorders>
            <w:shd w:val="clear" w:color="000000" w:fill="FFFFFF"/>
            <w:vAlign w:val="bottom"/>
            <w:hideMark/>
          </w:tcPr>
          <w:p w14:paraId="45BFF3D9" w14:textId="77777777" w:rsidR="00AA6435" w:rsidRPr="00AA6435" w:rsidRDefault="00AA6435" w:rsidP="00AA6435">
            <w:pPr>
              <w:jc w:val="right"/>
              <w:rPr>
                <w:rFonts w:ascii="Arial" w:hAnsi="Arial" w:cs="Arial"/>
              </w:rPr>
            </w:pPr>
            <w:r w:rsidRPr="00AA6435">
              <w:rPr>
                <w:rFonts w:ascii="Arial" w:hAnsi="Arial" w:cs="Arial"/>
              </w:rPr>
              <w:t>0</w:t>
            </w:r>
          </w:p>
        </w:tc>
      </w:tr>
    </w:tbl>
    <w:p w14:paraId="0889EE7D" w14:textId="0EBDF9A4" w:rsidR="00B301B0" w:rsidRDefault="00B301B0">
      <w:pPr>
        <w:pStyle w:val="BodyText"/>
        <w:rPr>
          <w:rFonts w:ascii="Arial" w:hAnsi="Arial" w:cs="Arial"/>
        </w:rPr>
      </w:pPr>
      <w:r>
        <w:rPr>
          <w:rFonts w:ascii="Arial" w:hAnsi="Arial" w:cs="Arial"/>
        </w:rPr>
        <w:tab/>
      </w:r>
      <w:r>
        <w:rPr>
          <w:rFonts w:ascii="Arial" w:hAnsi="Arial" w:cs="Arial"/>
        </w:rPr>
        <w:tab/>
      </w:r>
    </w:p>
    <w:p w14:paraId="0889EEC4" w14:textId="77777777" w:rsidR="0005573D" w:rsidRDefault="0005573D">
      <w:pPr>
        <w:pStyle w:val="BodyText"/>
        <w:rPr>
          <w:rFonts w:ascii="Arial" w:hAnsi="Arial" w:cs="Arial"/>
        </w:rPr>
      </w:pPr>
    </w:p>
    <w:p w14:paraId="0889EEC5" w14:textId="77777777" w:rsidR="0005573D" w:rsidRDefault="0005573D">
      <w:pPr>
        <w:pStyle w:val="BodyText"/>
        <w:rPr>
          <w:rFonts w:ascii="Arial" w:hAnsi="Arial" w:cs="Arial"/>
        </w:rPr>
      </w:pPr>
    </w:p>
    <w:p w14:paraId="0889EEC6" w14:textId="77777777" w:rsidR="0005573D" w:rsidRDefault="0005573D">
      <w:pPr>
        <w:pStyle w:val="BodyText"/>
        <w:rPr>
          <w:rFonts w:ascii="Arial" w:hAnsi="Arial" w:cs="Arial"/>
        </w:rPr>
      </w:pPr>
    </w:p>
    <w:p w14:paraId="0889EEC7" w14:textId="77777777" w:rsidR="003E39F8" w:rsidRDefault="0005573D">
      <w:pPr>
        <w:pStyle w:val="BodyText"/>
        <w:jc w:val="both"/>
        <w:rPr>
          <w:rFonts w:ascii="Arial" w:hAnsi="Arial" w:cs="Arial"/>
        </w:rPr>
      </w:pPr>
      <w:r>
        <w:rPr>
          <w:rFonts w:ascii="Arial" w:hAnsi="Arial" w:cs="Arial"/>
        </w:rPr>
        <w:t xml:space="preserve">Due to the tremendous effort required to publicize the fund and solicit donations, there were not </w:t>
      </w:r>
      <w:proofErr w:type="gramStart"/>
      <w:r>
        <w:rPr>
          <w:rFonts w:ascii="Arial" w:hAnsi="Arial" w:cs="Arial"/>
        </w:rPr>
        <w:t>sufficient</w:t>
      </w:r>
      <w:proofErr w:type="gramEnd"/>
      <w:r>
        <w:rPr>
          <w:rFonts w:ascii="Arial" w:hAnsi="Arial" w:cs="Arial"/>
        </w:rPr>
        <w:t xml:space="preserve"> funds available to render benefits to clients in </w:t>
      </w:r>
      <w:r w:rsidR="002165EA" w:rsidRPr="00F20CDE">
        <w:rPr>
          <w:rFonts w:ascii="Arial" w:hAnsi="Arial" w:cs="Arial"/>
          <w:sz w:val="22"/>
          <w:szCs w:val="22"/>
        </w:rPr>
        <w:t>S</w:t>
      </w:r>
      <w:r w:rsidRPr="00F20CDE">
        <w:rPr>
          <w:rFonts w:ascii="Arial" w:hAnsi="Arial" w:cs="Arial"/>
          <w:sz w:val="22"/>
          <w:szCs w:val="22"/>
        </w:rPr>
        <w:t xml:space="preserve">FY 2004 or </w:t>
      </w:r>
      <w:r w:rsidR="002165EA" w:rsidRPr="00F20CDE">
        <w:rPr>
          <w:rFonts w:ascii="Arial" w:hAnsi="Arial" w:cs="Arial"/>
          <w:sz w:val="22"/>
          <w:szCs w:val="22"/>
        </w:rPr>
        <w:t>S</w:t>
      </w:r>
      <w:r w:rsidRPr="00F20CDE">
        <w:rPr>
          <w:rFonts w:ascii="Arial" w:hAnsi="Arial" w:cs="Arial"/>
          <w:sz w:val="22"/>
          <w:szCs w:val="22"/>
        </w:rPr>
        <w:t>FY</w:t>
      </w:r>
      <w:r w:rsidR="002165EA">
        <w:rPr>
          <w:rFonts w:ascii="Arial" w:hAnsi="Arial" w:cs="Arial"/>
          <w:sz w:val="22"/>
          <w:szCs w:val="22"/>
        </w:rPr>
        <w:t xml:space="preserve"> </w:t>
      </w:r>
      <w:r w:rsidRPr="00F20CDE">
        <w:rPr>
          <w:rFonts w:ascii="Arial" w:hAnsi="Arial" w:cs="Arial"/>
          <w:sz w:val="22"/>
          <w:szCs w:val="22"/>
        </w:rPr>
        <w:t>2005</w:t>
      </w:r>
      <w:r>
        <w:rPr>
          <w:rFonts w:ascii="Arial" w:hAnsi="Arial" w:cs="Arial"/>
        </w:rPr>
        <w:t>.</w:t>
      </w:r>
    </w:p>
    <w:p w14:paraId="0889EEC8" w14:textId="77777777" w:rsidR="003E39F8" w:rsidRDefault="0005573D">
      <w:pPr>
        <w:pStyle w:val="BodyText"/>
        <w:jc w:val="both"/>
        <w:rPr>
          <w:rFonts w:ascii="Arial" w:hAnsi="Arial" w:cs="Arial"/>
        </w:rPr>
      </w:pPr>
      <w:r>
        <w:rPr>
          <w:rFonts w:ascii="Arial" w:hAnsi="Arial" w:cs="Arial"/>
        </w:rPr>
        <w:t xml:space="preserve">  </w:t>
      </w:r>
    </w:p>
    <w:p w14:paraId="0889EEC9" w14:textId="77777777" w:rsidR="0005573D" w:rsidRDefault="0005573D">
      <w:pPr>
        <w:pStyle w:val="BodyText"/>
        <w:jc w:val="both"/>
        <w:rPr>
          <w:rFonts w:ascii="Arial" w:hAnsi="Arial" w:cs="Arial"/>
        </w:rPr>
      </w:pPr>
      <w:r>
        <w:rPr>
          <w:rFonts w:ascii="Arial" w:hAnsi="Arial" w:cs="Arial"/>
        </w:rPr>
        <w:t xml:space="preserve">Beginning in </w:t>
      </w:r>
      <w:r w:rsidR="007B58A8">
        <w:rPr>
          <w:rFonts w:ascii="Arial" w:hAnsi="Arial" w:cs="Arial"/>
        </w:rPr>
        <w:t>S</w:t>
      </w:r>
      <w:r>
        <w:rPr>
          <w:rFonts w:ascii="Arial" w:hAnsi="Arial" w:cs="Arial"/>
        </w:rPr>
        <w:t xml:space="preserve">FY 2006, the funds have been used to assist low-income consumers to enable them to pay gas or electric bill arrearages in order to have household gas or electric utility service connected.  </w:t>
      </w:r>
    </w:p>
    <w:p w14:paraId="0889EECA" w14:textId="77777777" w:rsidR="0005573D" w:rsidRDefault="0005573D">
      <w:pPr>
        <w:pStyle w:val="BodyText"/>
        <w:jc w:val="both"/>
        <w:rPr>
          <w:rFonts w:ascii="Arial" w:hAnsi="Arial" w:cs="Arial"/>
        </w:rPr>
      </w:pPr>
    </w:p>
    <w:p w14:paraId="0889EECB" w14:textId="77777777" w:rsidR="0005573D" w:rsidRDefault="0005573D">
      <w:pPr>
        <w:pStyle w:val="BodyText"/>
        <w:jc w:val="both"/>
        <w:rPr>
          <w:rFonts w:ascii="Arial" w:hAnsi="Arial" w:cs="Arial"/>
        </w:rPr>
      </w:pPr>
      <w:r>
        <w:rPr>
          <w:rFonts w:ascii="Arial" w:hAnsi="Arial" w:cs="Arial"/>
        </w:rPr>
        <w:t xml:space="preserve">The households served with Good Samaritan Energy Trust Fund benefits during </w:t>
      </w:r>
      <w:r w:rsidR="007B58A8">
        <w:rPr>
          <w:rFonts w:ascii="Arial" w:hAnsi="Arial" w:cs="Arial"/>
        </w:rPr>
        <w:t>S</w:t>
      </w:r>
      <w:r>
        <w:rPr>
          <w:rFonts w:ascii="Arial" w:hAnsi="Arial" w:cs="Arial"/>
        </w:rPr>
        <w:t xml:space="preserve">FY 2006 and </w:t>
      </w:r>
      <w:r w:rsidR="007B58A8">
        <w:rPr>
          <w:rFonts w:ascii="Arial" w:hAnsi="Arial" w:cs="Arial"/>
        </w:rPr>
        <w:t>S</w:t>
      </w:r>
      <w:r>
        <w:rPr>
          <w:rFonts w:ascii="Arial" w:hAnsi="Arial" w:cs="Arial"/>
        </w:rPr>
        <w:t xml:space="preserve">FY 2007 included Summer Energy Assistance (Cooling) funds for approximately 9,000 households in northern Illinois through a $2 Million contribution from </w:t>
      </w:r>
      <w:proofErr w:type="spellStart"/>
      <w:r>
        <w:rPr>
          <w:rFonts w:ascii="Arial" w:hAnsi="Arial" w:cs="Arial"/>
        </w:rPr>
        <w:t>ComEd</w:t>
      </w:r>
      <w:proofErr w:type="spellEnd"/>
      <w:r>
        <w:rPr>
          <w:rFonts w:ascii="Arial" w:hAnsi="Arial" w:cs="Arial"/>
        </w:rPr>
        <w:t>.</w:t>
      </w:r>
    </w:p>
    <w:p w14:paraId="0889EECC" w14:textId="77777777" w:rsidR="0005573D" w:rsidRDefault="0005573D">
      <w:pPr>
        <w:pStyle w:val="BodyText"/>
        <w:jc w:val="both"/>
        <w:rPr>
          <w:rFonts w:ascii="Arial" w:hAnsi="Arial" w:cs="Arial"/>
        </w:rPr>
      </w:pPr>
    </w:p>
    <w:p w14:paraId="0889EECD" w14:textId="77777777" w:rsidR="0005573D" w:rsidRDefault="0005573D">
      <w:pPr>
        <w:pStyle w:val="BodyText"/>
        <w:jc w:val="both"/>
        <w:rPr>
          <w:rFonts w:ascii="Arial" w:hAnsi="Arial" w:cs="Arial"/>
        </w:rPr>
      </w:pPr>
    </w:p>
    <w:p w14:paraId="0889EECE" w14:textId="77777777" w:rsidR="0005573D" w:rsidRDefault="0005573D">
      <w:pPr>
        <w:pStyle w:val="BodyText"/>
        <w:jc w:val="both"/>
        <w:rPr>
          <w:rFonts w:ascii="Arial" w:hAnsi="Arial" w:cs="Arial"/>
        </w:rPr>
      </w:pPr>
      <w:r>
        <w:rPr>
          <w:rFonts w:ascii="Arial" w:hAnsi="Arial" w:cs="Arial"/>
        </w:rPr>
        <w:t>The advent of the Good Samaritan Energy Trust Fund has allowed for the following:</w:t>
      </w:r>
    </w:p>
    <w:p w14:paraId="0889EECF" w14:textId="77777777" w:rsidR="0005573D" w:rsidRDefault="0005573D">
      <w:pPr>
        <w:pStyle w:val="BodyText"/>
        <w:rPr>
          <w:rFonts w:ascii="Arial" w:hAnsi="Arial" w:cs="Arial"/>
        </w:rPr>
      </w:pPr>
    </w:p>
    <w:p w14:paraId="0889EED0" w14:textId="77777777" w:rsidR="0005573D" w:rsidRDefault="0005573D">
      <w:pPr>
        <w:pStyle w:val="BodyText"/>
        <w:numPr>
          <w:ilvl w:val="0"/>
          <w:numId w:val="15"/>
        </w:numPr>
        <w:tabs>
          <w:tab w:val="clear" w:pos="720"/>
          <w:tab w:val="num" w:pos="1080"/>
        </w:tabs>
        <w:ind w:left="1080"/>
        <w:jc w:val="both"/>
        <w:rPr>
          <w:rFonts w:ascii="Arial" w:hAnsi="Arial" w:cs="Arial"/>
        </w:rPr>
      </w:pPr>
      <w:r>
        <w:rPr>
          <w:rFonts w:ascii="Arial" w:hAnsi="Arial" w:cs="Arial"/>
        </w:rPr>
        <w:t xml:space="preserve">Maintenance or restoration of utility service for thousands of households that might otherwise be disconnected and </w:t>
      </w:r>
      <w:r w:rsidR="000B0BEA">
        <w:rPr>
          <w:rFonts w:ascii="Arial" w:hAnsi="Arial" w:cs="Arial"/>
        </w:rPr>
        <w:t xml:space="preserve">be </w:t>
      </w:r>
      <w:r>
        <w:rPr>
          <w:rFonts w:ascii="Arial" w:hAnsi="Arial" w:cs="Arial"/>
        </w:rPr>
        <w:t xml:space="preserve">without heat during </w:t>
      </w:r>
      <w:r w:rsidR="000B0BEA">
        <w:rPr>
          <w:rFonts w:ascii="Arial" w:hAnsi="Arial" w:cs="Arial"/>
        </w:rPr>
        <w:t>dangerously</w:t>
      </w:r>
      <w:r>
        <w:rPr>
          <w:rFonts w:ascii="Arial" w:hAnsi="Arial" w:cs="Arial"/>
        </w:rPr>
        <w:t xml:space="preserve"> cold winters;  </w:t>
      </w:r>
    </w:p>
    <w:p w14:paraId="0889EED1" w14:textId="77777777" w:rsidR="0005573D" w:rsidRDefault="0005573D">
      <w:pPr>
        <w:pStyle w:val="BodyText"/>
        <w:ind w:left="720"/>
        <w:jc w:val="both"/>
        <w:rPr>
          <w:rFonts w:ascii="Arial" w:hAnsi="Arial" w:cs="Arial"/>
        </w:rPr>
      </w:pPr>
    </w:p>
    <w:p w14:paraId="0889EED2" w14:textId="77777777" w:rsidR="0005573D" w:rsidRDefault="0005573D">
      <w:pPr>
        <w:pStyle w:val="BodyText"/>
        <w:numPr>
          <w:ilvl w:val="0"/>
          <w:numId w:val="11"/>
        </w:numPr>
        <w:tabs>
          <w:tab w:val="num" w:pos="1080"/>
        </w:tabs>
        <w:ind w:left="1080"/>
        <w:jc w:val="both"/>
        <w:rPr>
          <w:rFonts w:ascii="Arial" w:hAnsi="Arial" w:cs="Arial"/>
        </w:rPr>
      </w:pPr>
      <w:r>
        <w:rPr>
          <w:rFonts w:ascii="Arial" w:hAnsi="Arial" w:cs="Arial"/>
        </w:rPr>
        <w:t>Provision of Cooling assistance for thousands of households with elderly, disabled or extremely young members;</w:t>
      </w:r>
      <w:r w:rsidR="007B58A8">
        <w:rPr>
          <w:rFonts w:ascii="Arial" w:hAnsi="Arial" w:cs="Arial"/>
        </w:rPr>
        <w:t xml:space="preserve"> and</w:t>
      </w:r>
    </w:p>
    <w:p w14:paraId="0889EED3" w14:textId="77777777" w:rsidR="0005573D" w:rsidRDefault="0005573D">
      <w:pPr>
        <w:pStyle w:val="BodyText"/>
        <w:jc w:val="both"/>
        <w:rPr>
          <w:rFonts w:ascii="Arial" w:hAnsi="Arial" w:cs="Arial"/>
        </w:rPr>
      </w:pPr>
    </w:p>
    <w:p w14:paraId="0889EED4" w14:textId="77777777" w:rsidR="0005573D" w:rsidRDefault="000B0BEA">
      <w:pPr>
        <w:pStyle w:val="BodyText"/>
        <w:numPr>
          <w:ilvl w:val="0"/>
          <w:numId w:val="18"/>
        </w:numPr>
        <w:jc w:val="both"/>
        <w:rPr>
          <w:rFonts w:ascii="Arial" w:hAnsi="Arial" w:cs="Arial"/>
          <w:color w:val="FF0000"/>
        </w:rPr>
      </w:pPr>
      <w:r>
        <w:rPr>
          <w:rFonts w:ascii="Arial" w:hAnsi="Arial" w:cs="Arial"/>
        </w:rPr>
        <w:t xml:space="preserve">Greater </w:t>
      </w:r>
      <w:r w:rsidR="0005573D">
        <w:rPr>
          <w:rFonts w:ascii="Arial" w:hAnsi="Arial" w:cs="Arial"/>
        </w:rPr>
        <w:t xml:space="preserve">leveraging </w:t>
      </w:r>
      <w:r>
        <w:rPr>
          <w:rFonts w:ascii="Arial" w:hAnsi="Arial" w:cs="Arial"/>
        </w:rPr>
        <w:t xml:space="preserve">of </w:t>
      </w:r>
      <w:r w:rsidR="0005573D">
        <w:rPr>
          <w:rFonts w:ascii="Arial" w:hAnsi="Arial" w:cs="Arial"/>
        </w:rPr>
        <w:t xml:space="preserve">funds from the federal government under the </w:t>
      </w:r>
      <w:proofErr w:type="gramStart"/>
      <w:r w:rsidR="0005573D">
        <w:rPr>
          <w:rFonts w:ascii="Arial" w:hAnsi="Arial" w:cs="Arial"/>
        </w:rPr>
        <w:t>Low Income</w:t>
      </w:r>
      <w:proofErr w:type="gramEnd"/>
      <w:r w:rsidR="0005573D">
        <w:rPr>
          <w:rFonts w:ascii="Arial" w:hAnsi="Arial" w:cs="Arial"/>
        </w:rPr>
        <w:t xml:space="preserve"> Home Energy Assistance Block Grant.  Under this program all the states compete for a share of a dedicated fund.  The allocation is based entirely on how much non-federal funding a state generates.</w:t>
      </w:r>
    </w:p>
    <w:p w14:paraId="0889EED5" w14:textId="77777777" w:rsidR="0005573D" w:rsidRDefault="0005573D">
      <w:pPr>
        <w:pStyle w:val="BodyText"/>
        <w:ind w:left="720"/>
        <w:jc w:val="both"/>
        <w:rPr>
          <w:rFonts w:ascii="Arial" w:hAnsi="Arial" w:cs="Arial"/>
          <w:color w:val="FF0000"/>
        </w:rPr>
      </w:pPr>
    </w:p>
    <w:p w14:paraId="0889EED6" w14:textId="77777777" w:rsidR="0005573D" w:rsidRDefault="0005573D">
      <w:pPr>
        <w:pStyle w:val="Heading8"/>
        <w:jc w:val="both"/>
      </w:pPr>
      <w:r>
        <w:rPr>
          <w:rFonts w:ascii="Arial" w:hAnsi="Arial" w:cs="Arial"/>
        </w:rPr>
        <w:t>Appropriations and Expenditures</w:t>
      </w:r>
    </w:p>
    <w:p w14:paraId="0889EED7" w14:textId="77777777" w:rsidR="0005573D" w:rsidRDefault="0005573D">
      <w:pPr>
        <w:rPr>
          <w:rFonts w:ascii="Arial" w:hAnsi="Arial" w:cs="Arial"/>
          <w:b/>
          <w:sz w:val="24"/>
          <w:u w:val="single"/>
        </w:rPr>
      </w:pPr>
    </w:p>
    <w:p w14:paraId="48CE4A8A" w14:textId="77777777" w:rsidR="002544EA" w:rsidRDefault="0005573D">
      <w:pPr>
        <w:pStyle w:val="BodyText"/>
        <w:jc w:val="both"/>
      </w:pPr>
      <w:r>
        <w:rPr>
          <w:rFonts w:ascii="Arial" w:hAnsi="Arial" w:cs="Arial"/>
        </w:rPr>
        <w:t xml:space="preserve">The two charts below list annual appropriation levels and expenditures for the fund.   </w:t>
      </w:r>
      <w:proofErr w:type="gramStart"/>
      <w:r>
        <w:rPr>
          <w:rFonts w:ascii="Arial" w:hAnsi="Arial" w:cs="Arial"/>
        </w:rPr>
        <w:t>In an effort to</w:t>
      </w:r>
      <w:proofErr w:type="gramEnd"/>
      <w:r>
        <w:rPr>
          <w:rFonts w:ascii="Arial" w:hAnsi="Arial" w:cs="Arial"/>
        </w:rPr>
        <w:t xml:space="preserve"> maximize the benefits available for low</w:t>
      </w:r>
      <w:r w:rsidR="007B58A8">
        <w:rPr>
          <w:rFonts w:ascii="Arial" w:hAnsi="Arial" w:cs="Arial"/>
        </w:rPr>
        <w:t>-</w:t>
      </w:r>
      <w:r>
        <w:rPr>
          <w:rFonts w:ascii="Arial" w:hAnsi="Arial" w:cs="Arial"/>
        </w:rPr>
        <w:t xml:space="preserve">income households in Illinois, the Department has elected not to expend the allowed 10% administration </w:t>
      </w:r>
      <w:r w:rsidR="00237AF5">
        <w:rPr>
          <w:rFonts w:ascii="Arial" w:hAnsi="Arial" w:cs="Arial"/>
        </w:rPr>
        <w:t xml:space="preserve">limit </w:t>
      </w:r>
      <w:r w:rsidR="00040260">
        <w:rPr>
          <w:rFonts w:ascii="Arial" w:hAnsi="Arial" w:cs="Arial"/>
        </w:rPr>
        <w:t>from the fund</w:t>
      </w:r>
      <w:r>
        <w:rPr>
          <w:rFonts w:ascii="Arial" w:hAnsi="Arial" w:cs="Arial"/>
        </w:rPr>
        <w:t>.</w:t>
      </w:r>
      <w:r>
        <w:t xml:space="preserve">    </w:t>
      </w:r>
    </w:p>
    <w:p w14:paraId="0889EED8" w14:textId="2D0E7A15" w:rsidR="0005573D" w:rsidRDefault="0005573D">
      <w:pPr>
        <w:pStyle w:val="BodyText"/>
        <w:jc w:val="both"/>
      </w:pPr>
      <w:r>
        <w:t xml:space="preserve">      </w:t>
      </w:r>
    </w:p>
    <w:tbl>
      <w:tblPr>
        <w:tblW w:w="4560" w:type="dxa"/>
        <w:tblInd w:w="2390" w:type="dxa"/>
        <w:tblLook w:val="04A0" w:firstRow="1" w:lastRow="0" w:firstColumn="1" w:lastColumn="0" w:noHBand="0" w:noVBand="1"/>
      </w:tblPr>
      <w:tblGrid>
        <w:gridCol w:w="2320"/>
        <w:gridCol w:w="2240"/>
      </w:tblGrid>
      <w:tr w:rsidR="00213A46" w:rsidRPr="00213A46" w14:paraId="02D11BDD" w14:textId="77777777" w:rsidTr="00213A46">
        <w:trPr>
          <w:trHeight w:val="255"/>
        </w:trPr>
        <w:tc>
          <w:tcPr>
            <w:tcW w:w="4560" w:type="dxa"/>
            <w:gridSpan w:val="2"/>
            <w:tcBorders>
              <w:top w:val="single" w:sz="8" w:space="0" w:color="auto"/>
              <w:left w:val="single" w:sz="8" w:space="0" w:color="auto"/>
              <w:bottom w:val="single" w:sz="4" w:space="0" w:color="auto"/>
              <w:right w:val="single" w:sz="8" w:space="0" w:color="000000"/>
            </w:tcBorders>
            <w:shd w:val="clear" w:color="auto" w:fill="auto"/>
            <w:hideMark/>
          </w:tcPr>
          <w:p w14:paraId="4D3B9BB4" w14:textId="77777777" w:rsidR="00213A46" w:rsidRPr="00213A46" w:rsidRDefault="00213A46" w:rsidP="00213A46">
            <w:pPr>
              <w:rPr>
                <w:rFonts w:ascii="Arial" w:hAnsi="Arial" w:cs="Arial"/>
                <w:b/>
                <w:bCs/>
              </w:rPr>
            </w:pPr>
            <w:r w:rsidRPr="00213A46">
              <w:rPr>
                <w:rFonts w:ascii="Arial" w:hAnsi="Arial" w:cs="Arial"/>
                <w:b/>
                <w:bCs/>
              </w:rPr>
              <w:t xml:space="preserve">          Appropriations </w:t>
            </w:r>
            <w:proofErr w:type="gramStart"/>
            <w:r w:rsidRPr="00213A46">
              <w:rPr>
                <w:rFonts w:ascii="Arial" w:hAnsi="Arial" w:cs="Arial"/>
                <w:b/>
                <w:bCs/>
              </w:rPr>
              <w:t>By</w:t>
            </w:r>
            <w:proofErr w:type="gramEnd"/>
            <w:r w:rsidRPr="00213A46">
              <w:rPr>
                <w:rFonts w:ascii="Arial" w:hAnsi="Arial" w:cs="Arial"/>
                <w:b/>
                <w:bCs/>
              </w:rPr>
              <w:t xml:space="preserve"> Fiscal Year</w:t>
            </w:r>
          </w:p>
        </w:tc>
      </w:tr>
      <w:tr w:rsidR="00213A46" w:rsidRPr="00213A46" w14:paraId="294B7486"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hideMark/>
          </w:tcPr>
          <w:p w14:paraId="2B26AE1A" w14:textId="77777777" w:rsidR="00213A46" w:rsidRPr="00213A46" w:rsidRDefault="00213A46" w:rsidP="00213A46">
            <w:pPr>
              <w:jc w:val="center"/>
              <w:rPr>
                <w:rFonts w:ascii="Arial" w:hAnsi="Arial" w:cs="Arial"/>
              </w:rPr>
            </w:pPr>
            <w:r w:rsidRPr="00213A46">
              <w:rPr>
                <w:rFonts w:ascii="Arial" w:hAnsi="Arial" w:cs="Arial"/>
              </w:rPr>
              <w:t>State Fiscal Year</w:t>
            </w:r>
          </w:p>
        </w:tc>
        <w:tc>
          <w:tcPr>
            <w:tcW w:w="2240" w:type="dxa"/>
            <w:tcBorders>
              <w:top w:val="nil"/>
              <w:left w:val="nil"/>
              <w:bottom w:val="single" w:sz="4" w:space="0" w:color="auto"/>
              <w:right w:val="single" w:sz="8" w:space="0" w:color="auto"/>
            </w:tcBorders>
            <w:shd w:val="clear" w:color="auto" w:fill="auto"/>
            <w:hideMark/>
          </w:tcPr>
          <w:p w14:paraId="05F1D37F" w14:textId="77777777" w:rsidR="00213A46" w:rsidRPr="00213A46" w:rsidRDefault="00213A46" w:rsidP="00213A46">
            <w:pPr>
              <w:jc w:val="center"/>
              <w:rPr>
                <w:rFonts w:ascii="Arial" w:hAnsi="Arial" w:cs="Arial"/>
              </w:rPr>
            </w:pPr>
            <w:r w:rsidRPr="00213A46">
              <w:rPr>
                <w:rFonts w:ascii="Arial" w:hAnsi="Arial" w:cs="Arial"/>
              </w:rPr>
              <w:t>Amount</w:t>
            </w:r>
          </w:p>
        </w:tc>
      </w:tr>
      <w:tr w:rsidR="00213A46" w:rsidRPr="00213A46" w14:paraId="4156B121"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4EC1F3CC" w14:textId="77777777" w:rsidR="00213A46" w:rsidRPr="00213A46" w:rsidRDefault="00213A46" w:rsidP="00213A46">
            <w:pPr>
              <w:jc w:val="right"/>
              <w:rPr>
                <w:rFonts w:ascii="Arial" w:hAnsi="Arial" w:cs="Arial"/>
              </w:rPr>
            </w:pPr>
            <w:r w:rsidRPr="00213A46">
              <w:rPr>
                <w:rFonts w:ascii="Arial" w:hAnsi="Arial" w:cs="Arial"/>
              </w:rPr>
              <w:t>SFY 2004</w:t>
            </w:r>
          </w:p>
        </w:tc>
        <w:tc>
          <w:tcPr>
            <w:tcW w:w="2240" w:type="dxa"/>
            <w:tcBorders>
              <w:top w:val="nil"/>
              <w:left w:val="nil"/>
              <w:bottom w:val="single" w:sz="4" w:space="0" w:color="auto"/>
              <w:right w:val="single" w:sz="8" w:space="0" w:color="auto"/>
            </w:tcBorders>
            <w:shd w:val="clear" w:color="auto" w:fill="auto"/>
            <w:hideMark/>
          </w:tcPr>
          <w:p w14:paraId="01B2BF04" w14:textId="77777777" w:rsidR="00213A46" w:rsidRPr="00213A46" w:rsidRDefault="00213A46" w:rsidP="00213A46">
            <w:pPr>
              <w:jc w:val="right"/>
              <w:rPr>
                <w:rFonts w:ascii="Arial" w:hAnsi="Arial" w:cs="Arial"/>
              </w:rPr>
            </w:pPr>
            <w:r w:rsidRPr="00213A46">
              <w:rPr>
                <w:rFonts w:ascii="Arial" w:hAnsi="Arial" w:cs="Arial"/>
              </w:rPr>
              <w:t xml:space="preserve">$0 </w:t>
            </w:r>
          </w:p>
        </w:tc>
      </w:tr>
      <w:tr w:rsidR="00213A46" w:rsidRPr="00213A46" w14:paraId="37B216CA"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35D60D11" w14:textId="77777777" w:rsidR="00213A46" w:rsidRPr="00213A46" w:rsidRDefault="00213A46" w:rsidP="00213A46">
            <w:pPr>
              <w:jc w:val="right"/>
              <w:rPr>
                <w:rFonts w:ascii="Arial" w:hAnsi="Arial" w:cs="Arial"/>
              </w:rPr>
            </w:pPr>
            <w:r w:rsidRPr="00213A46">
              <w:rPr>
                <w:rFonts w:ascii="Arial" w:hAnsi="Arial" w:cs="Arial"/>
              </w:rPr>
              <w:t>SFY 2005</w:t>
            </w:r>
          </w:p>
        </w:tc>
        <w:tc>
          <w:tcPr>
            <w:tcW w:w="2240" w:type="dxa"/>
            <w:tcBorders>
              <w:top w:val="nil"/>
              <w:left w:val="nil"/>
              <w:bottom w:val="single" w:sz="4" w:space="0" w:color="auto"/>
              <w:right w:val="single" w:sz="8" w:space="0" w:color="auto"/>
            </w:tcBorders>
            <w:shd w:val="clear" w:color="auto" w:fill="auto"/>
            <w:hideMark/>
          </w:tcPr>
          <w:p w14:paraId="6FC019FE" w14:textId="77777777" w:rsidR="00213A46" w:rsidRPr="00213A46" w:rsidRDefault="00213A46" w:rsidP="00213A46">
            <w:pPr>
              <w:jc w:val="right"/>
              <w:rPr>
                <w:rFonts w:ascii="Arial" w:hAnsi="Arial" w:cs="Arial"/>
              </w:rPr>
            </w:pPr>
            <w:r w:rsidRPr="00213A46">
              <w:rPr>
                <w:rFonts w:ascii="Arial" w:hAnsi="Arial" w:cs="Arial"/>
              </w:rPr>
              <w:t xml:space="preserve">$500,000 </w:t>
            </w:r>
          </w:p>
        </w:tc>
      </w:tr>
      <w:tr w:rsidR="00213A46" w:rsidRPr="00213A46" w14:paraId="1D564922"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4621246A" w14:textId="77777777" w:rsidR="00213A46" w:rsidRPr="00213A46" w:rsidRDefault="00213A46" w:rsidP="00213A46">
            <w:pPr>
              <w:jc w:val="right"/>
              <w:rPr>
                <w:rFonts w:ascii="Arial" w:hAnsi="Arial" w:cs="Arial"/>
              </w:rPr>
            </w:pPr>
            <w:r w:rsidRPr="00213A46">
              <w:rPr>
                <w:rFonts w:ascii="Arial" w:hAnsi="Arial" w:cs="Arial"/>
              </w:rPr>
              <w:t>SFY 2006</w:t>
            </w:r>
          </w:p>
        </w:tc>
        <w:tc>
          <w:tcPr>
            <w:tcW w:w="2240" w:type="dxa"/>
            <w:tcBorders>
              <w:top w:val="nil"/>
              <w:left w:val="nil"/>
              <w:bottom w:val="single" w:sz="4" w:space="0" w:color="auto"/>
              <w:right w:val="single" w:sz="8" w:space="0" w:color="auto"/>
            </w:tcBorders>
            <w:shd w:val="clear" w:color="auto" w:fill="auto"/>
            <w:hideMark/>
          </w:tcPr>
          <w:p w14:paraId="007ED8F8" w14:textId="77777777" w:rsidR="00213A46" w:rsidRPr="00213A46" w:rsidRDefault="00213A46" w:rsidP="00213A46">
            <w:pPr>
              <w:jc w:val="right"/>
              <w:rPr>
                <w:rFonts w:ascii="Arial" w:hAnsi="Arial" w:cs="Arial"/>
              </w:rPr>
            </w:pPr>
            <w:r w:rsidRPr="00213A46">
              <w:rPr>
                <w:rFonts w:ascii="Arial" w:hAnsi="Arial" w:cs="Arial"/>
              </w:rPr>
              <w:t xml:space="preserve">$500,000 </w:t>
            </w:r>
          </w:p>
        </w:tc>
      </w:tr>
      <w:tr w:rsidR="00213A46" w:rsidRPr="00213A46" w14:paraId="194A31F2"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1240692F" w14:textId="77777777" w:rsidR="00213A46" w:rsidRPr="00213A46" w:rsidRDefault="00213A46" w:rsidP="00213A46">
            <w:pPr>
              <w:jc w:val="right"/>
              <w:rPr>
                <w:rFonts w:ascii="Arial" w:hAnsi="Arial" w:cs="Arial"/>
              </w:rPr>
            </w:pPr>
            <w:r w:rsidRPr="00213A46">
              <w:rPr>
                <w:rFonts w:ascii="Arial" w:hAnsi="Arial" w:cs="Arial"/>
              </w:rPr>
              <w:t>SFY 2007</w:t>
            </w:r>
          </w:p>
        </w:tc>
        <w:tc>
          <w:tcPr>
            <w:tcW w:w="2240" w:type="dxa"/>
            <w:tcBorders>
              <w:top w:val="nil"/>
              <w:left w:val="nil"/>
              <w:bottom w:val="single" w:sz="4" w:space="0" w:color="auto"/>
              <w:right w:val="single" w:sz="8" w:space="0" w:color="auto"/>
            </w:tcBorders>
            <w:shd w:val="clear" w:color="auto" w:fill="auto"/>
            <w:hideMark/>
          </w:tcPr>
          <w:p w14:paraId="4C0FE828" w14:textId="77777777" w:rsidR="00213A46" w:rsidRPr="00213A46" w:rsidRDefault="00213A46" w:rsidP="00213A46">
            <w:pPr>
              <w:jc w:val="right"/>
              <w:rPr>
                <w:rFonts w:ascii="Arial" w:hAnsi="Arial" w:cs="Arial"/>
              </w:rPr>
            </w:pPr>
            <w:r w:rsidRPr="00213A46">
              <w:rPr>
                <w:rFonts w:ascii="Arial" w:hAnsi="Arial" w:cs="Arial"/>
              </w:rPr>
              <w:t xml:space="preserve">$2,150,000 </w:t>
            </w:r>
          </w:p>
        </w:tc>
      </w:tr>
      <w:tr w:rsidR="00213A46" w:rsidRPr="00213A46" w14:paraId="6E7B580E"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4E6ABFD2" w14:textId="77777777" w:rsidR="00213A46" w:rsidRPr="00213A46" w:rsidRDefault="00213A46" w:rsidP="00213A46">
            <w:pPr>
              <w:jc w:val="right"/>
              <w:rPr>
                <w:rFonts w:ascii="Arial" w:hAnsi="Arial" w:cs="Arial"/>
              </w:rPr>
            </w:pPr>
            <w:r w:rsidRPr="00213A46">
              <w:rPr>
                <w:rFonts w:ascii="Arial" w:hAnsi="Arial" w:cs="Arial"/>
              </w:rPr>
              <w:t>SFY 2008</w:t>
            </w:r>
          </w:p>
        </w:tc>
        <w:tc>
          <w:tcPr>
            <w:tcW w:w="2240" w:type="dxa"/>
            <w:tcBorders>
              <w:top w:val="nil"/>
              <w:left w:val="nil"/>
              <w:bottom w:val="single" w:sz="4" w:space="0" w:color="auto"/>
              <w:right w:val="single" w:sz="8" w:space="0" w:color="auto"/>
            </w:tcBorders>
            <w:shd w:val="clear" w:color="auto" w:fill="auto"/>
            <w:hideMark/>
          </w:tcPr>
          <w:p w14:paraId="704DA9E3" w14:textId="77777777" w:rsidR="00213A46" w:rsidRPr="00213A46" w:rsidRDefault="00213A46" w:rsidP="00213A46">
            <w:pPr>
              <w:jc w:val="right"/>
              <w:rPr>
                <w:rFonts w:ascii="Arial" w:hAnsi="Arial" w:cs="Arial"/>
              </w:rPr>
            </w:pPr>
            <w:r w:rsidRPr="00213A46">
              <w:rPr>
                <w:rFonts w:ascii="Arial" w:hAnsi="Arial" w:cs="Arial"/>
              </w:rPr>
              <w:t xml:space="preserve">$2,150,000 </w:t>
            </w:r>
          </w:p>
        </w:tc>
      </w:tr>
      <w:tr w:rsidR="00213A46" w:rsidRPr="00213A46" w14:paraId="7E0A2428"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0CEE1530" w14:textId="77777777" w:rsidR="00213A46" w:rsidRPr="00213A46" w:rsidRDefault="00213A46" w:rsidP="00213A46">
            <w:pPr>
              <w:jc w:val="right"/>
              <w:rPr>
                <w:rFonts w:ascii="Arial" w:hAnsi="Arial" w:cs="Arial"/>
              </w:rPr>
            </w:pPr>
            <w:r w:rsidRPr="00213A46">
              <w:rPr>
                <w:rFonts w:ascii="Arial" w:hAnsi="Arial" w:cs="Arial"/>
              </w:rPr>
              <w:t>SFY 2009</w:t>
            </w:r>
          </w:p>
        </w:tc>
        <w:tc>
          <w:tcPr>
            <w:tcW w:w="2240" w:type="dxa"/>
            <w:tcBorders>
              <w:top w:val="nil"/>
              <w:left w:val="nil"/>
              <w:bottom w:val="single" w:sz="4" w:space="0" w:color="auto"/>
              <w:right w:val="single" w:sz="8" w:space="0" w:color="auto"/>
            </w:tcBorders>
            <w:shd w:val="clear" w:color="auto" w:fill="auto"/>
            <w:hideMark/>
          </w:tcPr>
          <w:p w14:paraId="24AF8EE8" w14:textId="77777777" w:rsidR="00213A46" w:rsidRPr="00213A46" w:rsidRDefault="00213A46" w:rsidP="00213A46">
            <w:pPr>
              <w:jc w:val="right"/>
              <w:rPr>
                <w:rFonts w:ascii="Arial" w:hAnsi="Arial" w:cs="Arial"/>
              </w:rPr>
            </w:pPr>
            <w:r w:rsidRPr="00213A46">
              <w:rPr>
                <w:rFonts w:ascii="Arial" w:hAnsi="Arial" w:cs="Arial"/>
              </w:rPr>
              <w:t xml:space="preserve">$2,150,000 </w:t>
            </w:r>
          </w:p>
        </w:tc>
      </w:tr>
      <w:tr w:rsidR="00213A46" w:rsidRPr="00213A46" w14:paraId="70299CE2"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661A167A" w14:textId="77777777" w:rsidR="00213A46" w:rsidRPr="00213A46" w:rsidRDefault="00213A46" w:rsidP="00213A46">
            <w:pPr>
              <w:jc w:val="right"/>
              <w:rPr>
                <w:rFonts w:ascii="Arial" w:hAnsi="Arial" w:cs="Arial"/>
              </w:rPr>
            </w:pPr>
            <w:r w:rsidRPr="00213A46">
              <w:rPr>
                <w:rFonts w:ascii="Arial" w:hAnsi="Arial" w:cs="Arial"/>
              </w:rPr>
              <w:t>SFY 2010</w:t>
            </w:r>
          </w:p>
        </w:tc>
        <w:tc>
          <w:tcPr>
            <w:tcW w:w="2240" w:type="dxa"/>
            <w:tcBorders>
              <w:top w:val="nil"/>
              <w:left w:val="nil"/>
              <w:bottom w:val="single" w:sz="4" w:space="0" w:color="auto"/>
              <w:right w:val="single" w:sz="8" w:space="0" w:color="auto"/>
            </w:tcBorders>
            <w:shd w:val="clear" w:color="auto" w:fill="auto"/>
            <w:hideMark/>
          </w:tcPr>
          <w:p w14:paraId="11DD4195" w14:textId="77777777" w:rsidR="00213A46" w:rsidRPr="00213A46" w:rsidRDefault="00213A46" w:rsidP="00213A46">
            <w:pPr>
              <w:jc w:val="right"/>
              <w:rPr>
                <w:rFonts w:ascii="Arial" w:hAnsi="Arial" w:cs="Arial"/>
              </w:rPr>
            </w:pPr>
            <w:r w:rsidRPr="00213A46">
              <w:rPr>
                <w:rFonts w:ascii="Arial" w:hAnsi="Arial" w:cs="Arial"/>
              </w:rPr>
              <w:t xml:space="preserve">$2,150,000 </w:t>
            </w:r>
          </w:p>
        </w:tc>
      </w:tr>
      <w:tr w:rsidR="00213A46" w:rsidRPr="00213A46" w14:paraId="2BA6259D"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07748D4E" w14:textId="77777777" w:rsidR="00213A46" w:rsidRPr="00213A46" w:rsidRDefault="00213A46" w:rsidP="00213A46">
            <w:pPr>
              <w:jc w:val="right"/>
              <w:rPr>
                <w:rFonts w:ascii="Arial" w:hAnsi="Arial" w:cs="Arial"/>
              </w:rPr>
            </w:pPr>
            <w:r w:rsidRPr="00213A46">
              <w:rPr>
                <w:rFonts w:ascii="Arial" w:hAnsi="Arial" w:cs="Arial"/>
              </w:rPr>
              <w:t>SFY 2011</w:t>
            </w:r>
          </w:p>
        </w:tc>
        <w:tc>
          <w:tcPr>
            <w:tcW w:w="2240" w:type="dxa"/>
            <w:tcBorders>
              <w:top w:val="nil"/>
              <w:left w:val="nil"/>
              <w:bottom w:val="single" w:sz="4" w:space="0" w:color="auto"/>
              <w:right w:val="single" w:sz="8" w:space="0" w:color="auto"/>
            </w:tcBorders>
            <w:shd w:val="clear" w:color="auto" w:fill="auto"/>
            <w:hideMark/>
          </w:tcPr>
          <w:p w14:paraId="1D5D9EEA" w14:textId="77777777" w:rsidR="00213A46" w:rsidRPr="00213A46" w:rsidRDefault="00213A46" w:rsidP="00213A46">
            <w:pPr>
              <w:jc w:val="right"/>
              <w:rPr>
                <w:rFonts w:ascii="Arial" w:hAnsi="Arial" w:cs="Arial"/>
              </w:rPr>
            </w:pPr>
            <w:r w:rsidRPr="00213A46">
              <w:rPr>
                <w:rFonts w:ascii="Arial" w:hAnsi="Arial" w:cs="Arial"/>
              </w:rPr>
              <w:t xml:space="preserve">$2,150,000 </w:t>
            </w:r>
          </w:p>
        </w:tc>
      </w:tr>
      <w:tr w:rsidR="00213A46" w:rsidRPr="00213A46" w14:paraId="7F7092D7"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1FFDD121" w14:textId="77777777" w:rsidR="00213A46" w:rsidRPr="00213A46" w:rsidRDefault="00213A46" w:rsidP="00213A46">
            <w:pPr>
              <w:jc w:val="right"/>
              <w:rPr>
                <w:rFonts w:ascii="Arial" w:hAnsi="Arial" w:cs="Arial"/>
              </w:rPr>
            </w:pPr>
            <w:r w:rsidRPr="00213A46">
              <w:rPr>
                <w:rFonts w:ascii="Arial" w:hAnsi="Arial" w:cs="Arial"/>
              </w:rPr>
              <w:t>SFY 2012</w:t>
            </w:r>
          </w:p>
        </w:tc>
        <w:tc>
          <w:tcPr>
            <w:tcW w:w="2240" w:type="dxa"/>
            <w:tcBorders>
              <w:top w:val="nil"/>
              <w:left w:val="nil"/>
              <w:bottom w:val="single" w:sz="4" w:space="0" w:color="auto"/>
              <w:right w:val="single" w:sz="8" w:space="0" w:color="auto"/>
            </w:tcBorders>
            <w:shd w:val="clear" w:color="auto" w:fill="auto"/>
            <w:hideMark/>
          </w:tcPr>
          <w:p w14:paraId="674C9157" w14:textId="77777777" w:rsidR="00213A46" w:rsidRPr="00213A46" w:rsidRDefault="00213A46" w:rsidP="00213A46">
            <w:pPr>
              <w:jc w:val="right"/>
              <w:rPr>
                <w:rFonts w:ascii="Arial" w:hAnsi="Arial" w:cs="Arial"/>
              </w:rPr>
            </w:pPr>
            <w:r w:rsidRPr="00213A46">
              <w:rPr>
                <w:rFonts w:ascii="Arial" w:hAnsi="Arial" w:cs="Arial"/>
              </w:rPr>
              <w:t xml:space="preserve">$500,000 </w:t>
            </w:r>
          </w:p>
        </w:tc>
      </w:tr>
      <w:tr w:rsidR="00213A46" w:rsidRPr="00213A46" w14:paraId="13BEE40F"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1CBE32F3" w14:textId="77777777" w:rsidR="00213A46" w:rsidRPr="00213A46" w:rsidRDefault="00213A46" w:rsidP="00213A46">
            <w:pPr>
              <w:jc w:val="right"/>
              <w:rPr>
                <w:rFonts w:ascii="Arial" w:hAnsi="Arial" w:cs="Arial"/>
              </w:rPr>
            </w:pPr>
            <w:r w:rsidRPr="00213A46">
              <w:rPr>
                <w:rFonts w:ascii="Arial" w:hAnsi="Arial" w:cs="Arial"/>
              </w:rPr>
              <w:t>SFY 2013</w:t>
            </w:r>
          </w:p>
        </w:tc>
        <w:tc>
          <w:tcPr>
            <w:tcW w:w="2240" w:type="dxa"/>
            <w:tcBorders>
              <w:top w:val="nil"/>
              <w:left w:val="nil"/>
              <w:bottom w:val="single" w:sz="4" w:space="0" w:color="auto"/>
              <w:right w:val="single" w:sz="8" w:space="0" w:color="auto"/>
            </w:tcBorders>
            <w:shd w:val="clear" w:color="auto" w:fill="auto"/>
            <w:hideMark/>
          </w:tcPr>
          <w:p w14:paraId="47B55D08" w14:textId="77777777" w:rsidR="00213A46" w:rsidRPr="00213A46" w:rsidRDefault="00213A46" w:rsidP="00213A46">
            <w:pPr>
              <w:jc w:val="right"/>
              <w:rPr>
                <w:rFonts w:ascii="Arial" w:hAnsi="Arial" w:cs="Arial"/>
              </w:rPr>
            </w:pPr>
            <w:r w:rsidRPr="00213A46">
              <w:rPr>
                <w:rFonts w:ascii="Arial" w:hAnsi="Arial" w:cs="Arial"/>
              </w:rPr>
              <w:t xml:space="preserve">$500,000 </w:t>
            </w:r>
          </w:p>
        </w:tc>
      </w:tr>
      <w:tr w:rsidR="00213A46" w:rsidRPr="00213A46" w14:paraId="6641770F"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1D3FD95C" w14:textId="77777777" w:rsidR="00213A46" w:rsidRPr="00213A46" w:rsidRDefault="00213A46" w:rsidP="00213A46">
            <w:pPr>
              <w:jc w:val="right"/>
              <w:rPr>
                <w:rFonts w:ascii="Arial" w:hAnsi="Arial" w:cs="Arial"/>
              </w:rPr>
            </w:pPr>
            <w:r w:rsidRPr="00213A46">
              <w:rPr>
                <w:rFonts w:ascii="Arial" w:hAnsi="Arial" w:cs="Arial"/>
              </w:rPr>
              <w:t>SFY 2014</w:t>
            </w:r>
          </w:p>
        </w:tc>
        <w:tc>
          <w:tcPr>
            <w:tcW w:w="2240" w:type="dxa"/>
            <w:tcBorders>
              <w:top w:val="nil"/>
              <w:left w:val="nil"/>
              <w:bottom w:val="single" w:sz="4" w:space="0" w:color="auto"/>
              <w:right w:val="single" w:sz="8" w:space="0" w:color="auto"/>
            </w:tcBorders>
            <w:shd w:val="clear" w:color="auto" w:fill="auto"/>
            <w:hideMark/>
          </w:tcPr>
          <w:p w14:paraId="358263F5" w14:textId="77777777" w:rsidR="00213A46" w:rsidRPr="00213A46" w:rsidRDefault="00213A46" w:rsidP="00213A46">
            <w:pPr>
              <w:jc w:val="right"/>
              <w:rPr>
                <w:rFonts w:ascii="Arial" w:hAnsi="Arial" w:cs="Arial"/>
              </w:rPr>
            </w:pPr>
            <w:r w:rsidRPr="00213A46">
              <w:rPr>
                <w:rFonts w:ascii="Arial" w:hAnsi="Arial" w:cs="Arial"/>
              </w:rPr>
              <w:t xml:space="preserve">$500,000 </w:t>
            </w:r>
          </w:p>
        </w:tc>
      </w:tr>
      <w:tr w:rsidR="00213A46" w:rsidRPr="00213A46" w14:paraId="3BD7757A"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7881581B" w14:textId="77777777" w:rsidR="00213A46" w:rsidRPr="00213A46" w:rsidRDefault="00213A46" w:rsidP="00213A46">
            <w:pPr>
              <w:jc w:val="right"/>
              <w:rPr>
                <w:rFonts w:ascii="Arial" w:hAnsi="Arial" w:cs="Arial"/>
              </w:rPr>
            </w:pPr>
            <w:r w:rsidRPr="00213A46">
              <w:rPr>
                <w:rFonts w:ascii="Arial" w:hAnsi="Arial" w:cs="Arial"/>
              </w:rPr>
              <w:t>SFY 2015</w:t>
            </w:r>
          </w:p>
        </w:tc>
        <w:tc>
          <w:tcPr>
            <w:tcW w:w="2240" w:type="dxa"/>
            <w:tcBorders>
              <w:top w:val="nil"/>
              <w:left w:val="nil"/>
              <w:bottom w:val="single" w:sz="4" w:space="0" w:color="auto"/>
              <w:right w:val="single" w:sz="8" w:space="0" w:color="auto"/>
            </w:tcBorders>
            <w:shd w:val="clear" w:color="auto" w:fill="auto"/>
            <w:hideMark/>
          </w:tcPr>
          <w:p w14:paraId="151E05F6" w14:textId="77777777" w:rsidR="00213A46" w:rsidRPr="00213A46" w:rsidRDefault="00213A46" w:rsidP="00213A46">
            <w:pPr>
              <w:jc w:val="right"/>
              <w:rPr>
                <w:rFonts w:ascii="Arial" w:hAnsi="Arial" w:cs="Arial"/>
              </w:rPr>
            </w:pPr>
            <w:r w:rsidRPr="00213A46">
              <w:rPr>
                <w:rFonts w:ascii="Arial" w:hAnsi="Arial" w:cs="Arial"/>
              </w:rPr>
              <w:t xml:space="preserve">$500,000 </w:t>
            </w:r>
          </w:p>
        </w:tc>
      </w:tr>
      <w:tr w:rsidR="00213A46" w:rsidRPr="00213A46" w14:paraId="6AF4F9F1"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53C28B42" w14:textId="77777777" w:rsidR="00213A46" w:rsidRPr="00213A46" w:rsidRDefault="00213A46" w:rsidP="00213A46">
            <w:pPr>
              <w:jc w:val="right"/>
              <w:rPr>
                <w:rFonts w:ascii="Arial" w:hAnsi="Arial" w:cs="Arial"/>
              </w:rPr>
            </w:pPr>
            <w:r w:rsidRPr="00213A46">
              <w:rPr>
                <w:rFonts w:ascii="Arial" w:hAnsi="Arial" w:cs="Arial"/>
              </w:rPr>
              <w:lastRenderedPageBreak/>
              <w:t>SFY 2016</w:t>
            </w:r>
          </w:p>
        </w:tc>
        <w:tc>
          <w:tcPr>
            <w:tcW w:w="2240" w:type="dxa"/>
            <w:tcBorders>
              <w:top w:val="nil"/>
              <w:left w:val="nil"/>
              <w:bottom w:val="single" w:sz="4" w:space="0" w:color="auto"/>
              <w:right w:val="single" w:sz="8" w:space="0" w:color="auto"/>
            </w:tcBorders>
            <w:shd w:val="clear" w:color="auto" w:fill="auto"/>
            <w:hideMark/>
          </w:tcPr>
          <w:p w14:paraId="696536D2" w14:textId="77777777" w:rsidR="00213A46" w:rsidRPr="00213A46" w:rsidRDefault="00213A46" w:rsidP="00213A46">
            <w:pPr>
              <w:jc w:val="right"/>
              <w:rPr>
                <w:rFonts w:ascii="Arial" w:hAnsi="Arial" w:cs="Arial"/>
              </w:rPr>
            </w:pPr>
            <w:r w:rsidRPr="00213A46">
              <w:rPr>
                <w:rFonts w:ascii="Arial" w:hAnsi="Arial" w:cs="Arial"/>
              </w:rPr>
              <w:t xml:space="preserve">$0 </w:t>
            </w:r>
          </w:p>
        </w:tc>
      </w:tr>
      <w:tr w:rsidR="00213A46" w:rsidRPr="00213A46" w14:paraId="6FD29EAD"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532582B8" w14:textId="77777777" w:rsidR="00213A46" w:rsidRPr="00213A46" w:rsidRDefault="00213A46" w:rsidP="00213A46">
            <w:pPr>
              <w:jc w:val="right"/>
              <w:rPr>
                <w:rFonts w:ascii="Arial" w:hAnsi="Arial" w:cs="Arial"/>
              </w:rPr>
            </w:pPr>
            <w:r w:rsidRPr="00213A46">
              <w:rPr>
                <w:rFonts w:ascii="Arial" w:hAnsi="Arial" w:cs="Arial"/>
              </w:rPr>
              <w:t>SFY 2017</w:t>
            </w:r>
          </w:p>
        </w:tc>
        <w:tc>
          <w:tcPr>
            <w:tcW w:w="2240" w:type="dxa"/>
            <w:tcBorders>
              <w:top w:val="nil"/>
              <w:left w:val="nil"/>
              <w:bottom w:val="single" w:sz="4" w:space="0" w:color="auto"/>
              <w:right w:val="single" w:sz="8" w:space="0" w:color="auto"/>
            </w:tcBorders>
            <w:shd w:val="clear" w:color="auto" w:fill="auto"/>
            <w:hideMark/>
          </w:tcPr>
          <w:p w14:paraId="6114A389" w14:textId="77777777" w:rsidR="00213A46" w:rsidRPr="00213A46" w:rsidRDefault="00213A46" w:rsidP="00213A46">
            <w:pPr>
              <w:jc w:val="right"/>
              <w:rPr>
                <w:rFonts w:ascii="Arial" w:hAnsi="Arial" w:cs="Arial"/>
              </w:rPr>
            </w:pPr>
            <w:r w:rsidRPr="00213A46">
              <w:rPr>
                <w:rFonts w:ascii="Arial" w:hAnsi="Arial" w:cs="Arial"/>
              </w:rPr>
              <w:t xml:space="preserve">$0 </w:t>
            </w:r>
          </w:p>
        </w:tc>
      </w:tr>
      <w:tr w:rsidR="00213A46" w:rsidRPr="00213A46" w14:paraId="30405705"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7E1E3FDD" w14:textId="77777777" w:rsidR="00213A46" w:rsidRPr="00213A46" w:rsidRDefault="00213A46" w:rsidP="00213A46">
            <w:pPr>
              <w:jc w:val="right"/>
              <w:rPr>
                <w:rFonts w:ascii="Arial" w:hAnsi="Arial" w:cs="Arial"/>
              </w:rPr>
            </w:pPr>
            <w:r w:rsidRPr="00213A46">
              <w:rPr>
                <w:rFonts w:ascii="Arial" w:hAnsi="Arial" w:cs="Arial"/>
              </w:rPr>
              <w:t>SFY 2018</w:t>
            </w:r>
          </w:p>
        </w:tc>
        <w:tc>
          <w:tcPr>
            <w:tcW w:w="2240" w:type="dxa"/>
            <w:tcBorders>
              <w:top w:val="nil"/>
              <w:left w:val="nil"/>
              <w:bottom w:val="single" w:sz="4" w:space="0" w:color="auto"/>
              <w:right w:val="single" w:sz="8" w:space="0" w:color="auto"/>
            </w:tcBorders>
            <w:shd w:val="clear" w:color="auto" w:fill="auto"/>
            <w:hideMark/>
          </w:tcPr>
          <w:p w14:paraId="69850C93" w14:textId="77777777" w:rsidR="00213A46" w:rsidRPr="00213A46" w:rsidRDefault="00213A46" w:rsidP="00213A46">
            <w:pPr>
              <w:jc w:val="right"/>
              <w:rPr>
                <w:rFonts w:ascii="Arial" w:hAnsi="Arial" w:cs="Arial"/>
              </w:rPr>
            </w:pPr>
            <w:r w:rsidRPr="00213A46">
              <w:rPr>
                <w:rFonts w:ascii="Arial" w:hAnsi="Arial" w:cs="Arial"/>
              </w:rPr>
              <w:t xml:space="preserve">$0 </w:t>
            </w:r>
          </w:p>
        </w:tc>
      </w:tr>
      <w:tr w:rsidR="00213A46" w:rsidRPr="00213A46" w14:paraId="47ECA390"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2F5718B5" w14:textId="77777777" w:rsidR="00213A46" w:rsidRPr="00213A46" w:rsidRDefault="00213A46" w:rsidP="00213A46">
            <w:pPr>
              <w:jc w:val="right"/>
              <w:rPr>
                <w:rFonts w:ascii="Arial" w:hAnsi="Arial" w:cs="Arial"/>
              </w:rPr>
            </w:pPr>
            <w:r w:rsidRPr="00213A46">
              <w:rPr>
                <w:rFonts w:ascii="Arial" w:hAnsi="Arial" w:cs="Arial"/>
              </w:rPr>
              <w:t>SFY 2019</w:t>
            </w:r>
          </w:p>
        </w:tc>
        <w:tc>
          <w:tcPr>
            <w:tcW w:w="2240" w:type="dxa"/>
            <w:tcBorders>
              <w:top w:val="nil"/>
              <w:left w:val="nil"/>
              <w:bottom w:val="single" w:sz="4" w:space="0" w:color="auto"/>
              <w:right w:val="single" w:sz="8" w:space="0" w:color="auto"/>
            </w:tcBorders>
            <w:shd w:val="clear" w:color="auto" w:fill="auto"/>
            <w:hideMark/>
          </w:tcPr>
          <w:p w14:paraId="3B5BB2F1" w14:textId="77777777" w:rsidR="00213A46" w:rsidRPr="00213A46" w:rsidRDefault="00213A46" w:rsidP="00213A46">
            <w:pPr>
              <w:jc w:val="right"/>
              <w:rPr>
                <w:rFonts w:ascii="Arial" w:hAnsi="Arial" w:cs="Arial"/>
              </w:rPr>
            </w:pPr>
            <w:r w:rsidRPr="00213A46">
              <w:rPr>
                <w:rFonts w:ascii="Arial" w:hAnsi="Arial" w:cs="Arial"/>
              </w:rPr>
              <w:t xml:space="preserve">$14,500 </w:t>
            </w:r>
          </w:p>
        </w:tc>
      </w:tr>
      <w:tr w:rsidR="00213A46" w:rsidRPr="00213A46" w14:paraId="30F3986F" w14:textId="77777777" w:rsidTr="00213A46">
        <w:trPr>
          <w:trHeight w:val="270"/>
        </w:trPr>
        <w:tc>
          <w:tcPr>
            <w:tcW w:w="2320" w:type="dxa"/>
            <w:tcBorders>
              <w:top w:val="nil"/>
              <w:left w:val="single" w:sz="8" w:space="0" w:color="auto"/>
              <w:bottom w:val="single" w:sz="8" w:space="0" w:color="auto"/>
              <w:right w:val="single" w:sz="4" w:space="0" w:color="auto"/>
            </w:tcBorders>
            <w:shd w:val="clear" w:color="auto" w:fill="auto"/>
            <w:vAlign w:val="bottom"/>
            <w:hideMark/>
          </w:tcPr>
          <w:p w14:paraId="5C4BA740" w14:textId="77777777" w:rsidR="00213A46" w:rsidRPr="00213A46" w:rsidRDefault="00213A46" w:rsidP="00213A46">
            <w:pPr>
              <w:jc w:val="right"/>
              <w:rPr>
                <w:rFonts w:ascii="Arial" w:hAnsi="Arial" w:cs="Arial"/>
              </w:rPr>
            </w:pPr>
            <w:r w:rsidRPr="00213A46">
              <w:rPr>
                <w:rFonts w:ascii="Arial" w:hAnsi="Arial" w:cs="Arial"/>
              </w:rPr>
              <w:t>SFY 2020</w:t>
            </w:r>
          </w:p>
        </w:tc>
        <w:tc>
          <w:tcPr>
            <w:tcW w:w="2240" w:type="dxa"/>
            <w:tcBorders>
              <w:top w:val="nil"/>
              <w:left w:val="nil"/>
              <w:bottom w:val="single" w:sz="8" w:space="0" w:color="auto"/>
              <w:right w:val="single" w:sz="8" w:space="0" w:color="auto"/>
            </w:tcBorders>
            <w:shd w:val="clear" w:color="auto" w:fill="auto"/>
            <w:hideMark/>
          </w:tcPr>
          <w:p w14:paraId="5D5C1738" w14:textId="77777777" w:rsidR="00213A46" w:rsidRPr="00213A46" w:rsidRDefault="00213A46" w:rsidP="00213A46">
            <w:pPr>
              <w:jc w:val="right"/>
              <w:rPr>
                <w:rFonts w:ascii="Arial" w:hAnsi="Arial" w:cs="Arial"/>
              </w:rPr>
            </w:pPr>
            <w:r w:rsidRPr="00213A46">
              <w:rPr>
                <w:rFonts w:ascii="Arial" w:hAnsi="Arial" w:cs="Arial"/>
              </w:rPr>
              <w:t xml:space="preserve">$0 </w:t>
            </w:r>
          </w:p>
        </w:tc>
      </w:tr>
    </w:tbl>
    <w:p w14:paraId="0889EF05" w14:textId="77777777" w:rsidR="0005573D" w:rsidRDefault="0005573D">
      <w:pPr>
        <w:rPr>
          <w:rFonts w:ascii="Arial" w:hAnsi="Arial" w:cs="Arial"/>
          <w:b/>
          <w:sz w:val="24"/>
          <w:u w:val="single"/>
        </w:rPr>
      </w:pPr>
    </w:p>
    <w:p w14:paraId="0889EF06" w14:textId="77777777" w:rsidR="00A469AC" w:rsidRDefault="00A469AC">
      <w:pPr>
        <w:pStyle w:val="BodyText"/>
        <w:ind w:left="720"/>
        <w:jc w:val="both"/>
        <w:rPr>
          <w:rFonts w:ascii="Arial" w:hAnsi="Arial" w:cs="Arial"/>
        </w:rPr>
      </w:pPr>
    </w:p>
    <w:p w14:paraId="0889EF07" w14:textId="2EA2296C" w:rsidR="005C5488" w:rsidRDefault="0005573D">
      <w:pPr>
        <w:pStyle w:val="BodyText"/>
        <w:jc w:val="both"/>
        <w:rPr>
          <w:rFonts w:ascii="Arial" w:hAnsi="Arial" w:cs="Arial"/>
        </w:rPr>
      </w:pPr>
      <w:r>
        <w:rPr>
          <w:rFonts w:ascii="Arial" w:hAnsi="Arial" w:cs="Arial"/>
        </w:rPr>
        <w:t>Although no client benefits were rendered during SFY 2005 due to the lengthy start up process required for this fund, there was a $1,200 statutory t</w:t>
      </w:r>
      <w:r w:rsidR="00450386">
        <w:rPr>
          <w:rFonts w:ascii="Arial" w:hAnsi="Arial" w:cs="Arial"/>
        </w:rPr>
        <w:t>ransfer during that fiscal year.  There were</w:t>
      </w:r>
      <w:r>
        <w:rPr>
          <w:rFonts w:ascii="Arial" w:hAnsi="Arial" w:cs="Arial"/>
        </w:rPr>
        <w:t xml:space="preserve"> additional statutory transfer</w:t>
      </w:r>
      <w:r w:rsidR="007B58A8">
        <w:rPr>
          <w:rFonts w:ascii="Arial" w:hAnsi="Arial" w:cs="Arial"/>
        </w:rPr>
        <w:t>s</w:t>
      </w:r>
      <w:r>
        <w:rPr>
          <w:rFonts w:ascii="Arial" w:hAnsi="Arial" w:cs="Arial"/>
        </w:rPr>
        <w:t xml:space="preserve"> </w:t>
      </w:r>
      <w:r w:rsidR="00F54BFF">
        <w:rPr>
          <w:rFonts w:ascii="Arial" w:hAnsi="Arial" w:cs="Arial"/>
        </w:rPr>
        <w:t xml:space="preserve">out of the fund in the amounts </w:t>
      </w:r>
      <w:r>
        <w:rPr>
          <w:rFonts w:ascii="Arial" w:hAnsi="Arial" w:cs="Arial"/>
        </w:rPr>
        <w:t>of $7,191 in SFY 2006</w:t>
      </w:r>
      <w:r w:rsidR="002E1505">
        <w:rPr>
          <w:rFonts w:ascii="Arial" w:hAnsi="Arial" w:cs="Arial"/>
        </w:rPr>
        <w:t xml:space="preserve">, </w:t>
      </w:r>
      <w:r w:rsidR="00450386">
        <w:rPr>
          <w:rFonts w:ascii="Arial" w:hAnsi="Arial" w:cs="Arial"/>
        </w:rPr>
        <w:t>$28,500 in March of 2011</w:t>
      </w:r>
      <w:r w:rsidR="002E1505">
        <w:rPr>
          <w:rFonts w:ascii="Arial" w:hAnsi="Arial" w:cs="Arial"/>
        </w:rPr>
        <w:t>, and $14,500 in May of 2018</w:t>
      </w:r>
      <w:r>
        <w:rPr>
          <w:rFonts w:ascii="Arial" w:hAnsi="Arial" w:cs="Arial"/>
        </w:rPr>
        <w:t>.  These transfers are not represented in the expenditure table above</w:t>
      </w:r>
      <w:r w:rsidR="00450386">
        <w:rPr>
          <w:rFonts w:ascii="Arial" w:hAnsi="Arial" w:cs="Arial"/>
        </w:rPr>
        <w:t xml:space="preserve">, </w:t>
      </w:r>
      <w:r w:rsidR="005C5488">
        <w:rPr>
          <w:rFonts w:ascii="Arial" w:hAnsi="Arial" w:cs="Arial"/>
        </w:rPr>
        <w:t>as they were not expenditures for the purpose of assisting the intended recipients of the fund</w:t>
      </w:r>
      <w:r>
        <w:rPr>
          <w:rFonts w:ascii="Arial" w:hAnsi="Arial" w:cs="Arial"/>
        </w:rPr>
        <w:t>.</w:t>
      </w:r>
    </w:p>
    <w:p w14:paraId="207B399A" w14:textId="77777777" w:rsidR="00915A70" w:rsidRDefault="00915A70">
      <w:pPr>
        <w:pStyle w:val="BodyText"/>
        <w:jc w:val="both"/>
        <w:rPr>
          <w:rFonts w:ascii="Arial" w:hAnsi="Arial" w:cs="Arial"/>
        </w:rPr>
      </w:pPr>
    </w:p>
    <w:tbl>
      <w:tblPr>
        <w:tblW w:w="4560" w:type="dxa"/>
        <w:tblInd w:w="2390" w:type="dxa"/>
        <w:tblLook w:val="04A0" w:firstRow="1" w:lastRow="0" w:firstColumn="1" w:lastColumn="0" w:noHBand="0" w:noVBand="1"/>
      </w:tblPr>
      <w:tblGrid>
        <w:gridCol w:w="2320"/>
        <w:gridCol w:w="2240"/>
      </w:tblGrid>
      <w:tr w:rsidR="00213A46" w:rsidRPr="00213A46" w14:paraId="07981A9C" w14:textId="77777777" w:rsidTr="00213A46">
        <w:trPr>
          <w:trHeight w:val="255"/>
        </w:trPr>
        <w:tc>
          <w:tcPr>
            <w:tcW w:w="4560" w:type="dxa"/>
            <w:gridSpan w:val="2"/>
            <w:tcBorders>
              <w:top w:val="single" w:sz="8" w:space="0" w:color="auto"/>
              <w:left w:val="single" w:sz="8" w:space="0" w:color="auto"/>
              <w:bottom w:val="single" w:sz="4" w:space="0" w:color="auto"/>
              <w:right w:val="single" w:sz="8" w:space="0" w:color="000000"/>
            </w:tcBorders>
            <w:shd w:val="clear" w:color="auto" w:fill="auto"/>
            <w:vAlign w:val="bottom"/>
            <w:hideMark/>
          </w:tcPr>
          <w:p w14:paraId="76F3F201" w14:textId="77777777" w:rsidR="00213A46" w:rsidRPr="00213A46" w:rsidRDefault="00213A46" w:rsidP="00213A46">
            <w:pPr>
              <w:jc w:val="center"/>
              <w:rPr>
                <w:rFonts w:ascii="Arial" w:hAnsi="Arial" w:cs="Arial"/>
                <w:b/>
                <w:bCs/>
              </w:rPr>
            </w:pPr>
            <w:r w:rsidRPr="00213A46">
              <w:rPr>
                <w:rFonts w:ascii="Arial" w:hAnsi="Arial" w:cs="Arial"/>
                <w:b/>
                <w:bCs/>
              </w:rPr>
              <w:t xml:space="preserve">Expenditures </w:t>
            </w:r>
            <w:proofErr w:type="gramStart"/>
            <w:r w:rsidRPr="00213A46">
              <w:rPr>
                <w:rFonts w:ascii="Arial" w:hAnsi="Arial" w:cs="Arial"/>
                <w:b/>
                <w:bCs/>
              </w:rPr>
              <w:t>By</w:t>
            </w:r>
            <w:proofErr w:type="gramEnd"/>
            <w:r w:rsidRPr="00213A46">
              <w:rPr>
                <w:rFonts w:ascii="Arial" w:hAnsi="Arial" w:cs="Arial"/>
                <w:b/>
                <w:bCs/>
              </w:rPr>
              <w:t xml:space="preserve"> Fiscal Year</w:t>
            </w:r>
          </w:p>
        </w:tc>
      </w:tr>
      <w:tr w:rsidR="00213A46" w:rsidRPr="00213A46" w14:paraId="64D23B7E"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71418B17" w14:textId="77777777" w:rsidR="00213A46" w:rsidRPr="00213A46" w:rsidRDefault="00213A46" w:rsidP="00213A46">
            <w:pPr>
              <w:jc w:val="center"/>
              <w:rPr>
                <w:rFonts w:ascii="Arial" w:hAnsi="Arial" w:cs="Arial"/>
              </w:rPr>
            </w:pPr>
            <w:r w:rsidRPr="00213A46">
              <w:rPr>
                <w:rFonts w:ascii="Arial" w:hAnsi="Arial" w:cs="Arial"/>
              </w:rPr>
              <w:t>State Fiscal Year</w:t>
            </w:r>
          </w:p>
        </w:tc>
        <w:tc>
          <w:tcPr>
            <w:tcW w:w="2240" w:type="dxa"/>
            <w:tcBorders>
              <w:top w:val="nil"/>
              <w:left w:val="nil"/>
              <w:bottom w:val="single" w:sz="4" w:space="0" w:color="auto"/>
              <w:right w:val="single" w:sz="8" w:space="0" w:color="auto"/>
            </w:tcBorders>
            <w:shd w:val="clear" w:color="auto" w:fill="auto"/>
            <w:hideMark/>
          </w:tcPr>
          <w:p w14:paraId="7A81E8F0" w14:textId="77777777" w:rsidR="00213A46" w:rsidRPr="00213A46" w:rsidRDefault="00213A46" w:rsidP="00213A46">
            <w:pPr>
              <w:jc w:val="center"/>
              <w:rPr>
                <w:rFonts w:ascii="Arial" w:hAnsi="Arial" w:cs="Arial"/>
              </w:rPr>
            </w:pPr>
            <w:r w:rsidRPr="00213A46">
              <w:rPr>
                <w:rFonts w:ascii="Arial" w:hAnsi="Arial" w:cs="Arial"/>
              </w:rPr>
              <w:t>Amount</w:t>
            </w:r>
          </w:p>
        </w:tc>
      </w:tr>
      <w:tr w:rsidR="00213A46" w:rsidRPr="00213A46" w14:paraId="4200B80D"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704137CC" w14:textId="77777777" w:rsidR="00213A46" w:rsidRPr="00213A46" w:rsidRDefault="00213A46" w:rsidP="00213A46">
            <w:pPr>
              <w:jc w:val="right"/>
              <w:rPr>
                <w:rFonts w:ascii="Arial" w:hAnsi="Arial" w:cs="Arial"/>
              </w:rPr>
            </w:pPr>
            <w:r w:rsidRPr="00213A46">
              <w:rPr>
                <w:rFonts w:ascii="Arial" w:hAnsi="Arial" w:cs="Arial"/>
              </w:rPr>
              <w:t>SFY 2004</w:t>
            </w:r>
          </w:p>
        </w:tc>
        <w:tc>
          <w:tcPr>
            <w:tcW w:w="2240" w:type="dxa"/>
            <w:tcBorders>
              <w:top w:val="nil"/>
              <w:left w:val="nil"/>
              <w:bottom w:val="single" w:sz="4" w:space="0" w:color="auto"/>
              <w:right w:val="single" w:sz="8" w:space="0" w:color="auto"/>
            </w:tcBorders>
            <w:shd w:val="clear" w:color="auto" w:fill="auto"/>
            <w:noWrap/>
            <w:vAlign w:val="bottom"/>
            <w:hideMark/>
          </w:tcPr>
          <w:p w14:paraId="110683F3" w14:textId="77777777" w:rsidR="00213A46" w:rsidRPr="00213A46" w:rsidRDefault="00213A46" w:rsidP="00213A46">
            <w:pPr>
              <w:jc w:val="right"/>
              <w:rPr>
                <w:rFonts w:ascii="Arial" w:hAnsi="Arial" w:cs="Arial"/>
              </w:rPr>
            </w:pPr>
            <w:r w:rsidRPr="00213A46">
              <w:rPr>
                <w:rFonts w:ascii="Arial" w:hAnsi="Arial" w:cs="Arial"/>
              </w:rPr>
              <w:t>$0</w:t>
            </w:r>
          </w:p>
        </w:tc>
      </w:tr>
      <w:tr w:rsidR="00213A46" w:rsidRPr="00213A46" w14:paraId="4598544B"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30A19C19" w14:textId="77777777" w:rsidR="00213A46" w:rsidRPr="00213A46" w:rsidRDefault="00213A46" w:rsidP="00213A46">
            <w:pPr>
              <w:jc w:val="right"/>
              <w:rPr>
                <w:rFonts w:ascii="Arial" w:hAnsi="Arial" w:cs="Arial"/>
              </w:rPr>
            </w:pPr>
            <w:r w:rsidRPr="00213A46">
              <w:rPr>
                <w:rFonts w:ascii="Arial" w:hAnsi="Arial" w:cs="Arial"/>
              </w:rPr>
              <w:t>SFY 2005</w:t>
            </w:r>
          </w:p>
        </w:tc>
        <w:tc>
          <w:tcPr>
            <w:tcW w:w="2240" w:type="dxa"/>
            <w:tcBorders>
              <w:top w:val="nil"/>
              <w:left w:val="nil"/>
              <w:bottom w:val="single" w:sz="4" w:space="0" w:color="auto"/>
              <w:right w:val="single" w:sz="8" w:space="0" w:color="auto"/>
            </w:tcBorders>
            <w:shd w:val="clear" w:color="auto" w:fill="auto"/>
            <w:noWrap/>
            <w:vAlign w:val="bottom"/>
            <w:hideMark/>
          </w:tcPr>
          <w:p w14:paraId="42EE2899" w14:textId="77777777" w:rsidR="00213A46" w:rsidRPr="00213A46" w:rsidRDefault="00213A46" w:rsidP="00213A46">
            <w:pPr>
              <w:jc w:val="right"/>
              <w:rPr>
                <w:rFonts w:ascii="Arial" w:hAnsi="Arial" w:cs="Arial"/>
              </w:rPr>
            </w:pPr>
            <w:r w:rsidRPr="00213A46">
              <w:rPr>
                <w:rFonts w:ascii="Arial" w:hAnsi="Arial" w:cs="Arial"/>
              </w:rPr>
              <w:t>$0</w:t>
            </w:r>
          </w:p>
        </w:tc>
      </w:tr>
      <w:tr w:rsidR="00213A46" w:rsidRPr="00213A46" w14:paraId="0C97860B"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7FE68B7F" w14:textId="77777777" w:rsidR="00213A46" w:rsidRPr="00213A46" w:rsidRDefault="00213A46" w:rsidP="00213A46">
            <w:pPr>
              <w:jc w:val="right"/>
              <w:rPr>
                <w:rFonts w:ascii="Arial" w:hAnsi="Arial" w:cs="Arial"/>
              </w:rPr>
            </w:pPr>
            <w:r w:rsidRPr="00213A46">
              <w:rPr>
                <w:rFonts w:ascii="Arial" w:hAnsi="Arial" w:cs="Arial"/>
              </w:rPr>
              <w:t>SFY 2006</w:t>
            </w:r>
          </w:p>
        </w:tc>
        <w:tc>
          <w:tcPr>
            <w:tcW w:w="2240" w:type="dxa"/>
            <w:tcBorders>
              <w:top w:val="nil"/>
              <w:left w:val="nil"/>
              <w:bottom w:val="single" w:sz="4" w:space="0" w:color="auto"/>
              <w:right w:val="single" w:sz="8" w:space="0" w:color="auto"/>
            </w:tcBorders>
            <w:shd w:val="clear" w:color="auto" w:fill="auto"/>
            <w:noWrap/>
            <w:vAlign w:val="bottom"/>
            <w:hideMark/>
          </w:tcPr>
          <w:p w14:paraId="4A828790" w14:textId="77777777" w:rsidR="00213A46" w:rsidRPr="00213A46" w:rsidRDefault="00213A46" w:rsidP="00213A46">
            <w:pPr>
              <w:jc w:val="right"/>
              <w:rPr>
                <w:rFonts w:ascii="Arial" w:hAnsi="Arial" w:cs="Arial"/>
              </w:rPr>
            </w:pPr>
            <w:r w:rsidRPr="00213A46">
              <w:rPr>
                <w:rFonts w:ascii="Arial" w:hAnsi="Arial" w:cs="Arial"/>
              </w:rPr>
              <w:t>$499,612</w:t>
            </w:r>
          </w:p>
        </w:tc>
      </w:tr>
      <w:tr w:rsidR="00213A46" w:rsidRPr="00213A46" w14:paraId="5233F43D"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2BFE0899" w14:textId="77777777" w:rsidR="00213A46" w:rsidRPr="00213A46" w:rsidRDefault="00213A46" w:rsidP="00213A46">
            <w:pPr>
              <w:jc w:val="right"/>
              <w:rPr>
                <w:rFonts w:ascii="Arial" w:hAnsi="Arial" w:cs="Arial"/>
              </w:rPr>
            </w:pPr>
            <w:r w:rsidRPr="00213A46">
              <w:rPr>
                <w:rFonts w:ascii="Arial" w:hAnsi="Arial" w:cs="Arial"/>
              </w:rPr>
              <w:t>SFY 2007</w:t>
            </w:r>
          </w:p>
        </w:tc>
        <w:tc>
          <w:tcPr>
            <w:tcW w:w="2240" w:type="dxa"/>
            <w:tcBorders>
              <w:top w:val="nil"/>
              <w:left w:val="nil"/>
              <w:bottom w:val="single" w:sz="4" w:space="0" w:color="auto"/>
              <w:right w:val="single" w:sz="8" w:space="0" w:color="auto"/>
            </w:tcBorders>
            <w:shd w:val="clear" w:color="auto" w:fill="auto"/>
            <w:noWrap/>
            <w:vAlign w:val="bottom"/>
            <w:hideMark/>
          </w:tcPr>
          <w:p w14:paraId="4B9C9CB0" w14:textId="77777777" w:rsidR="00213A46" w:rsidRPr="00213A46" w:rsidRDefault="00213A46" w:rsidP="00213A46">
            <w:pPr>
              <w:jc w:val="right"/>
              <w:rPr>
                <w:rFonts w:ascii="Arial" w:hAnsi="Arial" w:cs="Arial"/>
              </w:rPr>
            </w:pPr>
            <w:r w:rsidRPr="00213A46">
              <w:rPr>
                <w:rFonts w:ascii="Arial" w:hAnsi="Arial" w:cs="Arial"/>
              </w:rPr>
              <w:t>$1,506,624</w:t>
            </w:r>
          </w:p>
        </w:tc>
      </w:tr>
      <w:tr w:rsidR="00213A46" w:rsidRPr="00213A46" w14:paraId="3041A79F"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2E2D9C02" w14:textId="77777777" w:rsidR="00213A46" w:rsidRPr="00213A46" w:rsidRDefault="00213A46" w:rsidP="00213A46">
            <w:pPr>
              <w:jc w:val="right"/>
              <w:rPr>
                <w:rFonts w:ascii="Arial" w:hAnsi="Arial" w:cs="Arial"/>
              </w:rPr>
            </w:pPr>
            <w:r w:rsidRPr="00213A46">
              <w:rPr>
                <w:rFonts w:ascii="Arial" w:hAnsi="Arial" w:cs="Arial"/>
              </w:rPr>
              <w:t>SFY 2008</w:t>
            </w:r>
          </w:p>
        </w:tc>
        <w:tc>
          <w:tcPr>
            <w:tcW w:w="2240" w:type="dxa"/>
            <w:tcBorders>
              <w:top w:val="nil"/>
              <w:left w:val="nil"/>
              <w:bottom w:val="single" w:sz="4" w:space="0" w:color="auto"/>
              <w:right w:val="single" w:sz="8" w:space="0" w:color="auto"/>
            </w:tcBorders>
            <w:shd w:val="clear" w:color="auto" w:fill="auto"/>
            <w:noWrap/>
            <w:vAlign w:val="bottom"/>
            <w:hideMark/>
          </w:tcPr>
          <w:p w14:paraId="26C6B605" w14:textId="77777777" w:rsidR="00213A46" w:rsidRPr="00213A46" w:rsidRDefault="00213A46" w:rsidP="00213A46">
            <w:pPr>
              <w:jc w:val="right"/>
              <w:rPr>
                <w:rFonts w:ascii="Arial" w:hAnsi="Arial" w:cs="Arial"/>
              </w:rPr>
            </w:pPr>
            <w:r w:rsidRPr="00213A46">
              <w:rPr>
                <w:rFonts w:ascii="Arial" w:hAnsi="Arial" w:cs="Arial"/>
              </w:rPr>
              <w:t>$0</w:t>
            </w:r>
          </w:p>
        </w:tc>
      </w:tr>
      <w:tr w:rsidR="00213A46" w:rsidRPr="00213A46" w14:paraId="1C9E067E"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61C85561" w14:textId="77777777" w:rsidR="00213A46" w:rsidRPr="00213A46" w:rsidRDefault="00213A46" w:rsidP="00213A46">
            <w:pPr>
              <w:jc w:val="right"/>
              <w:rPr>
                <w:rFonts w:ascii="Arial" w:hAnsi="Arial" w:cs="Arial"/>
              </w:rPr>
            </w:pPr>
            <w:r w:rsidRPr="00213A46">
              <w:rPr>
                <w:rFonts w:ascii="Arial" w:hAnsi="Arial" w:cs="Arial"/>
              </w:rPr>
              <w:t>SFY 2009</w:t>
            </w:r>
          </w:p>
        </w:tc>
        <w:tc>
          <w:tcPr>
            <w:tcW w:w="2240" w:type="dxa"/>
            <w:tcBorders>
              <w:top w:val="nil"/>
              <w:left w:val="nil"/>
              <w:bottom w:val="single" w:sz="4" w:space="0" w:color="auto"/>
              <w:right w:val="single" w:sz="8" w:space="0" w:color="auto"/>
            </w:tcBorders>
            <w:shd w:val="clear" w:color="auto" w:fill="auto"/>
            <w:noWrap/>
            <w:vAlign w:val="bottom"/>
            <w:hideMark/>
          </w:tcPr>
          <w:p w14:paraId="5D80432D" w14:textId="77777777" w:rsidR="00213A46" w:rsidRPr="00213A46" w:rsidRDefault="00213A46" w:rsidP="00213A46">
            <w:pPr>
              <w:jc w:val="right"/>
              <w:rPr>
                <w:rFonts w:ascii="Arial" w:hAnsi="Arial" w:cs="Arial"/>
              </w:rPr>
            </w:pPr>
            <w:r w:rsidRPr="00213A46">
              <w:rPr>
                <w:rFonts w:ascii="Arial" w:hAnsi="Arial" w:cs="Arial"/>
              </w:rPr>
              <w:t>$0</w:t>
            </w:r>
          </w:p>
        </w:tc>
      </w:tr>
      <w:tr w:rsidR="00213A46" w:rsidRPr="00213A46" w14:paraId="2E65D699" w14:textId="77777777" w:rsidTr="00213A46">
        <w:trPr>
          <w:trHeight w:val="255"/>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756BCDE3" w14:textId="77777777" w:rsidR="00213A46" w:rsidRPr="00213A46" w:rsidRDefault="00213A46" w:rsidP="00213A46">
            <w:pPr>
              <w:jc w:val="right"/>
              <w:rPr>
                <w:rFonts w:ascii="Arial" w:hAnsi="Arial" w:cs="Arial"/>
              </w:rPr>
            </w:pPr>
            <w:r w:rsidRPr="00213A46">
              <w:rPr>
                <w:rFonts w:ascii="Arial" w:hAnsi="Arial" w:cs="Arial"/>
              </w:rPr>
              <w:t>SFY 2010</w:t>
            </w:r>
          </w:p>
        </w:tc>
        <w:tc>
          <w:tcPr>
            <w:tcW w:w="2240" w:type="dxa"/>
            <w:tcBorders>
              <w:top w:val="nil"/>
              <w:left w:val="nil"/>
              <w:bottom w:val="single" w:sz="4" w:space="0" w:color="auto"/>
              <w:right w:val="single" w:sz="8" w:space="0" w:color="auto"/>
            </w:tcBorders>
            <w:shd w:val="clear" w:color="auto" w:fill="auto"/>
            <w:noWrap/>
            <w:vAlign w:val="bottom"/>
            <w:hideMark/>
          </w:tcPr>
          <w:p w14:paraId="43C66D8F" w14:textId="77777777" w:rsidR="00213A46" w:rsidRPr="00213A46" w:rsidRDefault="00213A46" w:rsidP="00213A46">
            <w:pPr>
              <w:jc w:val="right"/>
              <w:rPr>
                <w:rFonts w:ascii="Arial" w:hAnsi="Arial" w:cs="Arial"/>
              </w:rPr>
            </w:pPr>
            <w:r w:rsidRPr="00213A46">
              <w:rPr>
                <w:rFonts w:ascii="Arial" w:hAnsi="Arial" w:cs="Arial"/>
              </w:rPr>
              <w:t>$0</w:t>
            </w:r>
          </w:p>
        </w:tc>
      </w:tr>
      <w:tr w:rsidR="00213A46" w:rsidRPr="00213A46" w14:paraId="53BBD3F8" w14:textId="77777777" w:rsidTr="00213A46">
        <w:trPr>
          <w:trHeight w:val="255"/>
        </w:trPr>
        <w:tc>
          <w:tcPr>
            <w:tcW w:w="2320" w:type="dxa"/>
            <w:tcBorders>
              <w:top w:val="nil"/>
              <w:left w:val="single" w:sz="8" w:space="0" w:color="auto"/>
              <w:bottom w:val="nil"/>
              <w:right w:val="single" w:sz="4" w:space="0" w:color="auto"/>
            </w:tcBorders>
            <w:shd w:val="clear" w:color="000000" w:fill="FFFFFF"/>
            <w:vAlign w:val="bottom"/>
            <w:hideMark/>
          </w:tcPr>
          <w:p w14:paraId="13E688A5" w14:textId="77777777" w:rsidR="00213A46" w:rsidRPr="00213A46" w:rsidRDefault="00213A46" w:rsidP="00213A46">
            <w:pPr>
              <w:jc w:val="right"/>
              <w:rPr>
                <w:rFonts w:ascii="Arial" w:hAnsi="Arial" w:cs="Arial"/>
              </w:rPr>
            </w:pPr>
            <w:r w:rsidRPr="00213A46">
              <w:rPr>
                <w:rFonts w:ascii="Arial" w:hAnsi="Arial" w:cs="Arial"/>
              </w:rPr>
              <w:t>Calendar Yr. 2010</w:t>
            </w:r>
          </w:p>
        </w:tc>
        <w:tc>
          <w:tcPr>
            <w:tcW w:w="2240" w:type="dxa"/>
            <w:tcBorders>
              <w:top w:val="nil"/>
              <w:left w:val="nil"/>
              <w:bottom w:val="single" w:sz="4" w:space="0" w:color="auto"/>
              <w:right w:val="single" w:sz="8" w:space="0" w:color="auto"/>
            </w:tcBorders>
            <w:shd w:val="clear" w:color="auto" w:fill="auto"/>
            <w:noWrap/>
            <w:vAlign w:val="bottom"/>
            <w:hideMark/>
          </w:tcPr>
          <w:p w14:paraId="0E14EC59" w14:textId="77777777" w:rsidR="00213A46" w:rsidRPr="00213A46" w:rsidRDefault="00213A46" w:rsidP="00213A46">
            <w:pPr>
              <w:jc w:val="right"/>
              <w:rPr>
                <w:rFonts w:ascii="Arial" w:hAnsi="Arial" w:cs="Arial"/>
              </w:rPr>
            </w:pPr>
            <w:r w:rsidRPr="00213A46">
              <w:rPr>
                <w:rFonts w:ascii="Arial" w:hAnsi="Arial" w:cs="Arial"/>
              </w:rPr>
              <w:t>$0</w:t>
            </w:r>
          </w:p>
        </w:tc>
      </w:tr>
      <w:tr w:rsidR="00213A46" w:rsidRPr="00213A46" w14:paraId="585606F7" w14:textId="77777777" w:rsidTr="00213A46">
        <w:trPr>
          <w:trHeight w:val="255"/>
        </w:trPr>
        <w:tc>
          <w:tcPr>
            <w:tcW w:w="2320" w:type="dxa"/>
            <w:tcBorders>
              <w:top w:val="single" w:sz="4" w:space="0" w:color="auto"/>
              <w:left w:val="single" w:sz="8" w:space="0" w:color="auto"/>
              <w:bottom w:val="nil"/>
              <w:right w:val="single" w:sz="4" w:space="0" w:color="auto"/>
            </w:tcBorders>
            <w:shd w:val="clear" w:color="000000" w:fill="FFFFFF"/>
            <w:vAlign w:val="bottom"/>
            <w:hideMark/>
          </w:tcPr>
          <w:p w14:paraId="67BFAF6D" w14:textId="77777777" w:rsidR="00213A46" w:rsidRPr="00213A46" w:rsidRDefault="00213A46" w:rsidP="00213A46">
            <w:pPr>
              <w:jc w:val="right"/>
              <w:rPr>
                <w:rFonts w:ascii="Arial" w:hAnsi="Arial" w:cs="Arial"/>
              </w:rPr>
            </w:pPr>
            <w:r w:rsidRPr="00213A46">
              <w:rPr>
                <w:rFonts w:ascii="Arial" w:hAnsi="Arial" w:cs="Arial"/>
              </w:rPr>
              <w:t>Calendar Yr. 2011</w:t>
            </w:r>
          </w:p>
        </w:tc>
        <w:tc>
          <w:tcPr>
            <w:tcW w:w="2240" w:type="dxa"/>
            <w:tcBorders>
              <w:top w:val="nil"/>
              <w:left w:val="nil"/>
              <w:bottom w:val="single" w:sz="4" w:space="0" w:color="auto"/>
              <w:right w:val="single" w:sz="8" w:space="0" w:color="auto"/>
            </w:tcBorders>
            <w:shd w:val="clear" w:color="auto" w:fill="auto"/>
            <w:noWrap/>
            <w:vAlign w:val="bottom"/>
            <w:hideMark/>
          </w:tcPr>
          <w:p w14:paraId="3FB9DCBD" w14:textId="77777777" w:rsidR="00213A46" w:rsidRPr="00213A46" w:rsidRDefault="00213A46" w:rsidP="00213A46">
            <w:pPr>
              <w:jc w:val="right"/>
              <w:rPr>
                <w:rFonts w:ascii="Arial" w:hAnsi="Arial" w:cs="Arial"/>
              </w:rPr>
            </w:pPr>
            <w:r w:rsidRPr="00213A46">
              <w:rPr>
                <w:rFonts w:ascii="Arial" w:hAnsi="Arial" w:cs="Arial"/>
              </w:rPr>
              <w:t>$0</w:t>
            </w:r>
          </w:p>
        </w:tc>
      </w:tr>
      <w:tr w:rsidR="00213A46" w:rsidRPr="00213A46" w14:paraId="00BE66BB" w14:textId="77777777" w:rsidTr="00213A46">
        <w:trPr>
          <w:trHeight w:val="255"/>
        </w:trPr>
        <w:tc>
          <w:tcPr>
            <w:tcW w:w="2320" w:type="dxa"/>
            <w:tcBorders>
              <w:top w:val="single" w:sz="4" w:space="0" w:color="auto"/>
              <w:left w:val="single" w:sz="8" w:space="0" w:color="auto"/>
              <w:bottom w:val="nil"/>
              <w:right w:val="single" w:sz="4" w:space="0" w:color="auto"/>
            </w:tcBorders>
            <w:shd w:val="clear" w:color="000000" w:fill="FFFFFF"/>
            <w:vAlign w:val="bottom"/>
            <w:hideMark/>
          </w:tcPr>
          <w:p w14:paraId="7756166E" w14:textId="77777777" w:rsidR="00213A46" w:rsidRPr="00213A46" w:rsidRDefault="00213A46" w:rsidP="00213A46">
            <w:pPr>
              <w:jc w:val="right"/>
              <w:rPr>
                <w:rFonts w:ascii="Arial" w:hAnsi="Arial" w:cs="Arial"/>
              </w:rPr>
            </w:pPr>
            <w:r w:rsidRPr="00213A46">
              <w:rPr>
                <w:rFonts w:ascii="Arial" w:hAnsi="Arial" w:cs="Arial"/>
              </w:rPr>
              <w:t>Calendar Yr. 2012</w:t>
            </w:r>
          </w:p>
        </w:tc>
        <w:tc>
          <w:tcPr>
            <w:tcW w:w="2240" w:type="dxa"/>
            <w:tcBorders>
              <w:top w:val="nil"/>
              <w:left w:val="nil"/>
              <w:bottom w:val="single" w:sz="4" w:space="0" w:color="auto"/>
              <w:right w:val="single" w:sz="8" w:space="0" w:color="auto"/>
            </w:tcBorders>
            <w:shd w:val="clear" w:color="auto" w:fill="auto"/>
            <w:noWrap/>
            <w:vAlign w:val="bottom"/>
            <w:hideMark/>
          </w:tcPr>
          <w:p w14:paraId="3CA77EF6" w14:textId="77777777" w:rsidR="00213A46" w:rsidRPr="00213A46" w:rsidRDefault="00213A46" w:rsidP="00213A46">
            <w:pPr>
              <w:jc w:val="right"/>
              <w:rPr>
                <w:rFonts w:ascii="Arial" w:hAnsi="Arial" w:cs="Arial"/>
              </w:rPr>
            </w:pPr>
            <w:r w:rsidRPr="00213A46">
              <w:rPr>
                <w:rFonts w:ascii="Arial" w:hAnsi="Arial" w:cs="Arial"/>
              </w:rPr>
              <w:t>$0</w:t>
            </w:r>
          </w:p>
        </w:tc>
      </w:tr>
      <w:tr w:rsidR="00213A46" w:rsidRPr="00213A46" w14:paraId="7CF8244E" w14:textId="77777777" w:rsidTr="00213A46">
        <w:trPr>
          <w:trHeight w:val="255"/>
        </w:trPr>
        <w:tc>
          <w:tcPr>
            <w:tcW w:w="2320" w:type="dxa"/>
            <w:tcBorders>
              <w:top w:val="single" w:sz="4" w:space="0" w:color="auto"/>
              <w:left w:val="single" w:sz="8" w:space="0" w:color="auto"/>
              <w:bottom w:val="nil"/>
              <w:right w:val="single" w:sz="4" w:space="0" w:color="auto"/>
            </w:tcBorders>
            <w:shd w:val="clear" w:color="000000" w:fill="FFFFFF"/>
            <w:vAlign w:val="bottom"/>
            <w:hideMark/>
          </w:tcPr>
          <w:p w14:paraId="2377D2BA" w14:textId="77777777" w:rsidR="00213A46" w:rsidRPr="00213A46" w:rsidRDefault="00213A46" w:rsidP="00213A46">
            <w:pPr>
              <w:jc w:val="right"/>
              <w:rPr>
                <w:rFonts w:ascii="Arial" w:hAnsi="Arial" w:cs="Arial"/>
              </w:rPr>
            </w:pPr>
            <w:r w:rsidRPr="00213A46">
              <w:rPr>
                <w:rFonts w:ascii="Arial" w:hAnsi="Arial" w:cs="Arial"/>
              </w:rPr>
              <w:t>Calendar Yr. 2013</w:t>
            </w:r>
          </w:p>
        </w:tc>
        <w:tc>
          <w:tcPr>
            <w:tcW w:w="2240" w:type="dxa"/>
            <w:tcBorders>
              <w:top w:val="nil"/>
              <w:left w:val="nil"/>
              <w:bottom w:val="single" w:sz="4" w:space="0" w:color="auto"/>
              <w:right w:val="single" w:sz="8" w:space="0" w:color="auto"/>
            </w:tcBorders>
            <w:shd w:val="clear" w:color="auto" w:fill="auto"/>
            <w:noWrap/>
            <w:vAlign w:val="bottom"/>
            <w:hideMark/>
          </w:tcPr>
          <w:p w14:paraId="46DBE54A" w14:textId="77777777" w:rsidR="00213A46" w:rsidRPr="00213A46" w:rsidRDefault="00213A46" w:rsidP="00213A46">
            <w:pPr>
              <w:jc w:val="right"/>
              <w:rPr>
                <w:rFonts w:ascii="Arial" w:hAnsi="Arial" w:cs="Arial"/>
              </w:rPr>
            </w:pPr>
            <w:r w:rsidRPr="00213A46">
              <w:rPr>
                <w:rFonts w:ascii="Arial" w:hAnsi="Arial" w:cs="Arial"/>
              </w:rPr>
              <w:t>$0</w:t>
            </w:r>
          </w:p>
        </w:tc>
      </w:tr>
      <w:tr w:rsidR="00213A46" w:rsidRPr="00213A46" w14:paraId="1384C602" w14:textId="77777777" w:rsidTr="00213A46">
        <w:trPr>
          <w:trHeight w:val="255"/>
        </w:trPr>
        <w:tc>
          <w:tcPr>
            <w:tcW w:w="2320" w:type="dxa"/>
            <w:tcBorders>
              <w:top w:val="single" w:sz="4" w:space="0" w:color="auto"/>
              <w:left w:val="single" w:sz="8" w:space="0" w:color="auto"/>
              <w:bottom w:val="nil"/>
              <w:right w:val="single" w:sz="4" w:space="0" w:color="auto"/>
            </w:tcBorders>
            <w:shd w:val="clear" w:color="000000" w:fill="FFFFFF"/>
            <w:vAlign w:val="bottom"/>
            <w:hideMark/>
          </w:tcPr>
          <w:p w14:paraId="5695B361" w14:textId="77777777" w:rsidR="00213A46" w:rsidRPr="00213A46" w:rsidRDefault="00213A46" w:rsidP="00213A46">
            <w:pPr>
              <w:jc w:val="right"/>
              <w:rPr>
                <w:rFonts w:ascii="Arial" w:hAnsi="Arial" w:cs="Arial"/>
              </w:rPr>
            </w:pPr>
            <w:r w:rsidRPr="00213A46">
              <w:rPr>
                <w:rFonts w:ascii="Arial" w:hAnsi="Arial" w:cs="Arial"/>
              </w:rPr>
              <w:t>Calendar Yr. 2014</w:t>
            </w:r>
          </w:p>
        </w:tc>
        <w:tc>
          <w:tcPr>
            <w:tcW w:w="2240" w:type="dxa"/>
            <w:tcBorders>
              <w:top w:val="nil"/>
              <w:left w:val="nil"/>
              <w:bottom w:val="single" w:sz="4" w:space="0" w:color="auto"/>
              <w:right w:val="single" w:sz="8" w:space="0" w:color="auto"/>
            </w:tcBorders>
            <w:shd w:val="clear" w:color="auto" w:fill="auto"/>
            <w:noWrap/>
            <w:vAlign w:val="bottom"/>
            <w:hideMark/>
          </w:tcPr>
          <w:p w14:paraId="480F7192" w14:textId="77777777" w:rsidR="00213A46" w:rsidRPr="00213A46" w:rsidRDefault="00213A46" w:rsidP="00213A46">
            <w:pPr>
              <w:jc w:val="right"/>
              <w:rPr>
                <w:rFonts w:ascii="Arial" w:hAnsi="Arial" w:cs="Arial"/>
              </w:rPr>
            </w:pPr>
            <w:r w:rsidRPr="00213A46">
              <w:rPr>
                <w:rFonts w:ascii="Arial" w:hAnsi="Arial" w:cs="Arial"/>
              </w:rPr>
              <w:t>$0</w:t>
            </w:r>
          </w:p>
        </w:tc>
      </w:tr>
      <w:tr w:rsidR="00213A46" w:rsidRPr="00213A46" w14:paraId="6BEC15EC" w14:textId="77777777" w:rsidTr="00213A46">
        <w:trPr>
          <w:trHeight w:val="255"/>
        </w:trPr>
        <w:tc>
          <w:tcPr>
            <w:tcW w:w="232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67ACF7A4" w14:textId="77777777" w:rsidR="00213A46" w:rsidRPr="00213A46" w:rsidRDefault="00213A46" w:rsidP="00213A46">
            <w:pPr>
              <w:jc w:val="right"/>
              <w:rPr>
                <w:rFonts w:ascii="Arial" w:hAnsi="Arial" w:cs="Arial"/>
              </w:rPr>
            </w:pPr>
            <w:r w:rsidRPr="00213A46">
              <w:rPr>
                <w:rFonts w:ascii="Arial" w:hAnsi="Arial" w:cs="Arial"/>
              </w:rPr>
              <w:t>Calendar Yr. 2015</w:t>
            </w:r>
          </w:p>
        </w:tc>
        <w:tc>
          <w:tcPr>
            <w:tcW w:w="2240" w:type="dxa"/>
            <w:tcBorders>
              <w:top w:val="nil"/>
              <w:left w:val="nil"/>
              <w:bottom w:val="single" w:sz="4" w:space="0" w:color="auto"/>
              <w:right w:val="single" w:sz="8" w:space="0" w:color="auto"/>
            </w:tcBorders>
            <w:shd w:val="clear" w:color="auto" w:fill="auto"/>
            <w:noWrap/>
            <w:vAlign w:val="bottom"/>
            <w:hideMark/>
          </w:tcPr>
          <w:p w14:paraId="71A54244" w14:textId="77777777" w:rsidR="00213A46" w:rsidRPr="00213A46" w:rsidRDefault="00213A46" w:rsidP="00213A46">
            <w:pPr>
              <w:jc w:val="right"/>
              <w:rPr>
                <w:rFonts w:ascii="Arial" w:hAnsi="Arial" w:cs="Arial"/>
              </w:rPr>
            </w:pPr>
            <w:r w:rsidRPr="00213A46">
              <w:rPr>
                <w:rFonts w:ascii="Arial" w:hAnsi="Arial" w:cs="Arial"/>
              </w:rPr>
              <w:t>$0</w:t>
            </w:r>
          </w:p>
        </w:tc>
      </w:tr>
      <w:tr w:rsidR="00213A46" w:rsidRPr="00213A46" w14:paraId="0358E31F" w14:textId="77777777" w:rsidTr="00213A46">
        <w:trPr>
          <w:trHeight w:val="255"/>
        </w:trPr>
        <w:tc>
          <w:tcPr>
            <w:tcW w:w="2320" w:type="dxa"/>
            <w:tcBorders>
              <w:top w:val="nil"/>
              <w:left w:val="single" w:sz="8" w:space="0" w:color="auto"/>
              <w:bottom w:val="single" w:sz="4" w:space="0" w:color="auto"/>
              <w:right w:val="single" w:sz="4" w:space="0" w:color="auto"/>
            </w:tcBorders>
            <w:shd w:val="clear" w:color="000000" w:fill="FFFFFF"/>
            <w:vAlign w:val="bottom"/>
            <w:hideMark/>
          </w:tcPr>
          <w:p w14:paraId="5B11FC3D" w14:textId="77777777" w:rsidR="00213A46" w:rsidRPr="00213A46" w:rsidRDefault="00213A46" w:rsidP="00213A46">
            <w:pPr>
              <w:jc w:val="right"/>
              <w:rPr>
                <w:rFonts w:ascii="Arial" w:hAnsi="Arial" w:cs="Arial"/>
              </w:rPr>
            </w:pPr>
            <w:r w:rsidRPr="00213A46">
              <w:rPr>
                <w:rFonts w:ascii="Arial" w:hAnsi="Arial" w:cs="Arial"/>
              </w:rPr>
              <w:t>Calendar Yr. 2016</w:t>
            </w:r>
          </w:p>
        </w:tc>
        <w:tc>
          <w:tcPr>
            <w:tcW w:w="2240" w:type="dxa"/>
            <w:tcBorders>
              <w:top w:val="nil"/>
              <w:left w:val="nil"/>
              <w:bottom w:val="single" w:sz="4" w:space="0" w:color="auto"/>
              <w:right w:val="single" w:sz="8" w:space="0" w:color="auto"/>
            </w:tcBorders>
            <w:shd w:val="clear" w:color="auto" w:fill="auto"/>
            <w:noWrap/>
            <w:vAlign w:val="bottom"/>
            <w:hideMark/>
          </w:tcPr>
          <w:p w14:paraId="5C069397" w14:textId="77777777" w:rsidR="00213A46" w:rsidRPr="00213A46" w:rsidRDefault="00213A46" w:rsidP="00213A46">
            <w:pPr>
              <w:jc w:val="right"/>
              <w:rPr>
                <w:rFonts w:ascii="Arial" w:hAnsi="Arial" w:cs="Arial"/>
              </w:rPr>
            </w:pPr>
            <w:r w:rsidRPr="00213A46">
              <w:rPr>
                <w:rFonts w:ascii="Arial" w:hAnsi="Arial" w:cs="Arial"/>
              </w:rPr>
              <w:t>$0</w:t>
            </w:r>
          </w:p>
        </w:tc>
      </w:tr>
      <w:tr w:rsidR="00213A46" w:rsidRPr="00213A46" w14:paraId="739CA7ED" w14:textId="77777777" w:rsidTr="00213A46">
        <w:trPr>
          <w:trHeight w:val="255"/>
        </w:trPr>
        <w:tc>
          <w:tcPr>
            <w:tcW w:w="2320" w:type="dxa"/>
            <w:tcBorders>
              <w:top w:val="nil"/>
              <w:left w:val="single" w:sz="8" w:space="0" w:color="auto"/>
              <w:bottom w:val="single" w:sz="4" w:space="0" w:color="auto"/>
              <w:right w:val="single" w:sz="4" w:space="0" w:color="auto"/>
            </w:tcBorders>
            <w:shd w:val="clear" w:color="000000" w:fill="FFFFFF"/>
            <w:vAlign w:val="bottom"/>
            <w:hideMark/>
          </w:tcPr>
          <w:p w14:paraId="040DD8E2" w14:textId="77777777" w:rsidR="00213A46" w:rsidRPr="00213A46" w:rsidRDefault="00213A46" w:rsidP="00213A46">
            <w:pPr>
              <w:jc w:val="right"/>
              <w:rPr>
                <w:rFonts w:ascii="Arial" w:hAnsi="Arial" w:cs="Arial"/>
              </w:rPr>
            </w:pPr>
            <w:r w:rsidRPr="00213A46">
              <w:rPr>
                <w:rFonts w:ascii="Arial" w:hAnsi="Arial" w:cs="Arial"/>
              </w:rPr>
              <w:t>Calendar Yr. 2017</w:t>
            </w:r>
          </w:p>
        </w:tc>
        <w:tc>
          <w:tcPr>
            <w:tcW w:w="2240" w:type="dxa"/>
            <w:tcBorders>
              <w:top w:val="nil"/>
              <w:left w:val="nil"/>
              <w:bottom w:val="single" w:sz="4" w:space="0" w:color="auto"/>
              <w:right w:val="single" w:sz="8" w:space="0" w:color="auto"/>
            </w:tcBorders>
            <w:shd w:val="clear" w:color="auto" w:fill="auto"/>
            <w:noWrap/>
            <w:vAlign w:val="bottom"/>
            <w:hideMark/>
          </w:tcPr>
          <w:p w14:paraId="2246078E" w14:textId="77777777" w:rsidR="00213A46" w:rsidRPr="00213A46" w:rsidRDefault="00213A46" w:rsidP="00213A46">
            <w:pPr>
              <w:jc w:val="right"/>
              <w:rPr>
                <w:rFonts w:ascii="Arial" w:hAnsi="Arial" w:cs="Arial"/>
              </w:rPr>
            </w:pPr>
            <w:r w:rsidRPr="00213A46">
              <w:rPr>
                <w:rFonts w:ascii="Arial" w:hAnsi="Arial" w:cs="Arial"/>
              </w:rPr>
              <w:t>$0</w:t>
            </w:r>
          </w:p>
        </w:tc>
      </w:tr>
      <w:tr w:rsidR="00213A46" w:rsidRPr="00213A46" w14:paraId="72EBB54D" w14:textId="77777777" w:rsidTr="00213A46">
        <w:trPr>
          <w:trHeight w:val="255"/>
        </w:trPr>
        <w:tc>
          <w:tcPr>
            <w:tcW w:w="2320" w:type="dxa"/>
            <w:tcBorders>
              <w:top w:val="nil"/>
              <w:left w:val="single" w:sz="8" w:space="0" w:color="auto"/>
              <w:bottom w:val="single" w:sz="4" w:space="0" w:color="auto"/>
              <w:right w:val="single" w:sz="4" w:space="0" w:color="auto"/>
            </w:tcBorders>
            <w:shd w:val="clear" w:color="000000" w:fill="FFFFFF"/>
            <w:vAlign w:val="bottom"/>
            <w:hideMark/>
          </w:tcPr>
          <w:p w14:paraId="5BE32B07" w14:textId="77777777" w:rsidR="00213A46" w:rsidRPr="00213A46" w:rsidRDefault="00213A46" w:rsidP="00213A46">
            <w:pPr>
              <w:jc w:val="right"/>
              <w:rPr>
                <w:rFonts w:ascii="Arial" w:hAnsi="Arial" w:cs="Arial"/>
              </w:rPr>
            </w:pPr>
            <w:r w:rsidRPr="00213A46">
              <w:rPr>
                <w:rFonts w:ascii="Arial" w:hAnsi="Arial" w:cs="Arial"/>
              </w:rPr>
              <w:t>Calendar Yr. 2018</w:t>
            </w:r>
          </w:p>
        </w:tc>
        <w:tc>
          <w:tcPr>
            <w:tcW w:w="2240" w:type="dxa"/>
            <w:tcBorders>
              <w:top w:val="nil"/>
              <w:left w:val="nil"/>
              <w:bottom w:val="single" w:sz="4" w:space="0" w:color="auto"/>
              <w:right w:val="single" w:sz="8" w:space="0" w:color="auto"/>
            </w:tcBorders>
            <w:shd w:val="clear" w:color="auto" w:fill="auto"/>
            <w:noWrap/>
            <w:vAlign w:val="bottom"/>
            <w:hideMark/>
          </w:tcPr>
          <w:p w14:paraId="34F6962B" w14:textId="77777777" w:rsidR="00213A46" w:rsidRPr="00213A46" w:rsidRDefault="00213A46" w:rsidP="00213A46">
            <w:pPr>
              <w:jc w:val="right"/>
              <w:rPr>
                <w:rFonts w:ascii="Arial" w:hAnsi="Arial" w:cs="Arial"/>
              </w:rPr>
            </w:pPr>
            <w:r w:rsidRPr="00213A46">
              <w:rPr>
                <w:rFonts w:ascii="Arial" w:hAnsi="Arial" w:cs="Arial"/>
              </w:rPr>
              <w:t>$0</w:t>
            </w:r>
          </w:p>
        </w:tc>
      </w:tr>
      <w:tr w:rsidR="00213A46" w:rsidRPr="00213A46" w14:paraId="6740F43B" w14:textId="77777777" w:rsidTr="00213A46">
        <w:trPr>
          <w:trHeight w:val="270"/>
        </w:trPr>
        <w:tc>
          <w:tcPr>
            <w:tcW w:w="2320" w:type="dxa"/>
            <w:tcBorders>
              <w:top w:val="nil"/>
              <w:left w:val="single" w:sz="8" w:space="0" w:color="auto"/>
              <w:bottom w:val="single" w:sz="8" w:space="0" w:color="auto"/>
              <w:right w:val="single" w:sz="4" w:space="0" w:color="auto"/>
            </w:tcBorders>
            <w:shd w:val="clear" w:color="000000" w:fill="FFFFFF"/>
            <w:vAlign w:val="bottom"/>
            <w:hideMark/>
          </w:tcPr>
          <w:p w14:paraId="57974854" w14:textId="77777777" w:rsidR="00213A46" w:rsidRPr="00213A46" w:rsidRDefault="00213A46" w:rsidP="00213A46">
            <w:pPr>
              <w:jc w:val="right"/>
              <w:rPr>
                <w:rFonts w:ascii="Arial" w:hAnsi="Arial" w:cs="Arial"/>
              </w:rPr>
            </w:pPr>
            <w:r w:rsidRPr="00213A46">
              <w:rPr>
                <w:rFonts w:ascii="Arial" w:hAnsi="Arial" w:cs="Arial"/>
              </w:rPr>
              <w:t>Calendar Yr. 2019</w:t>
            </w:r>
          </w:p>
        </w:tc>
        <w:tc>
          <w:tcPr>
            <w:tcW w:w="2240" w:type="dxa"/>
            <w:tcBorders>
              <w:top w:val="nil"/>
              <w:left w:val="nil"/>
              <w:bottom w:val="single" w:sz="8" w:space="0" w:color="auto"/>
              <w:right w:val="single" w:sz="8" w:space="0" w:color="auto"/>
            </w:tcBorders>
            <w:shd w:val="clear" w:color="auto" w:fill="auto"/>
            <w:noWrap/>
            <w:vAlign w:val="bottom"/>
            <w:hideMark/>
          </w:tcPr>
          <w:p w14:paraId="61BE9402" w14:textId="77777777" w:rsidR="00213A46" w:rsidRPr="00213A46" w:rsidRDefault="00213A46" w:rsidP="00213A46">
            <w:pPr>
              <w:jc w:val="right"/>
              <w:rPr>
                <w:rFonts w:ascii="Arial" w:hAnsi="Arial" w:cs="Arial"/>
              </w:rPr>
            </w:pPr>
            <w:r w:rsidRPr="00213A46">
              <w:rPr>
                <w:rFonts w:ascii="Arial" w:hAnsi="Arial" w:cs="Arial"/>
              </w:rPr>
              <w:t>$0</w:t>
            </w:r>
          </w:p>
        </w:tc>
      </w:tr>
    </w:tbl>
    <w:p w14:paraId="0889EF34" w14:textId="77777777" w:rsidR="00FC5DCC" w:rsidRDefault="00FC5DCC">
      <w:pPr>
        <w:pStyle w:val="BodyText"/>
        <w:jc w:val="both"/>
        <w:rPr>
          <w:rFonts w:ascii="Arial" w:hAnsi="Arial" w:cs="Arial"/>
        </w:rPr>
      </w:pPr>
    </w:p>
    <w:p w14:paraId="0889EF35" w14:textId="77777777" w:rsidR="00FC5DCC" w:rsidRDefault="002D71CD">
      <w:pPr>
        <w:pStyle w:val="BodyText"/>
        <w:jc w:val="both"/>
        <w:rPr>
          <w:rFonts w:ascii="Arial" w:hAnsi="Arial" w:cs="Arial"/>
        </w:rPr>
      </w:pPr>
      <w:r>
        <w:rPr>
          <w:rFonts w:ascii="Arial" w:hAnsi="Arial" w:cs="Arial"/>
        </w:rPr>
        <w:t>Currently, the Department does not have a practical way to disperse these funds to the LAAs given the small dollar amounts available per county.</w:t>
      </w:r>
    </w:p>
    <w:p w14:paraId="0889EF36" w14:textId="77777777" w:rsidR="005C5488" w:rsidRDefault="005C5488">
      <w:pPr>
        <w:pStyle w:val="BodyText"/>
        <w:jc w:val="both"/>
        <w:rPr>
          <w:rFonts w:ascii="Arial" w:hAnsi="Arial" w:cs="Arial"/>
        </w:rPr>
      </w:pPr>
    </w:p>
    <w:p w14:paraId="0889EF37" w14:textId="06F78388" w:rsidR="001F2578" w:rsidRDefault="001F2578">
      <w:pPr>
        <w:pStyle w:val="BodyText"/>
        <w:jc w:val="both"/>
        <w:rPr>
          <w:rFonts w:ascii="Arial" w:hAnsi="Arial" w:cs="Arial"/>
        </w:rPr>
      </w:pPr>
      <w:r w:rsidRPr="0057779E">
        <w:rPr>
          <w:rFonts w:ascii="Arial" w:hAnsi="Arial" w:cs="Arial"/>
        </w:rPr>
        <w:t>The balance of the fund as of this report</w:t>
      </w:r>
      <w:r w:rsidR="00AC12BB">
        <w:rPr>
          <w:rFonts w:ascii="Arial" w:hAnsi="Arial" w:cs="Arial"/>
        </w:rPr>
        <w:t xml:space="preserve">, May </w:t>
      </w:r>
      <w:r w:rsidR="00FF3CD0">
        <w:rPr>
          <w:rFonts w:ascii="Arial" w:hAnsi="Arial" w:cs="Arial"/>
        </w:rPr>
        <w:t>20</w:t>
      </w:r>
      <w:r w:rsidR="00617D36">
        <w:rPr>
          <w:rFonts w:ascii="Arial" w:hAnsi="Arial" w:cs="Arial"/>
        </w:rPr>
        <w:t>20</w:t>
      </w:r>
      <w:r w:rsidR="00AC12BB">
        <w:rPr>
          <w:rFonts w:ascii="Arial" w:hAnsi="Arial" w:cs="Arial"/>
        </w:rPr>
        <w:t>,</w:t>
      </w:r>
      <w:r w:rsidRPr="0057779E">
        <w:rPr>
          <w:rFonts w:ascii="Arial" w:hAnsi="Arial" w:cs="Arial"/>
        </w:rPr>
        <w:t xml:space="preserve"> is $</w:t>
      </w:r>
      <w:r w:rsidR="001445B7">
        <w:rPr>
          <w:rFonts w:ascii="Arial" w:hAnsi="Arial" w:cs="Arial"/>
        </w:rPr>
        <w:t>14</w:t>
      </w:r>
      <w:r w:rsidRPr="0057779E">
        <w:rPr>
          <w:rFonts w:ascii="Arial" w:hAnsi="Arial" w:cs="Arial"/>
        </w:rPr>
        <w:t>,</w:t>
      </w:r>
      <w:r w:rsidR="001445B7">
        <w:rPr>
          <w:rFonts w:ascii="Arial" w:hAnsi="Arial" w:cs="Arial"/>
        </w:rPr>
        <w:t>472</w:t>
      </w:r>
      <w:r w:rsidRPr="0057779E">
        <w:rPr>
          <w:rFonts w:ascii="Arial" w:hAnsi="Arial" w:cs="Arial"/>
        </w:rPr>
        <w:t>.</w:t>
      </w:r>
      <w:r w:rsidR="001A7359">
        <w:rPr>
          <w:rFonts w:ascii="Arial" w:hAnsi="Arial" w:cs="Arial"/>
        </w:rPr>
        <w:t>78</w:t>
      </w:r>
      <w:r w:rsidR="002D71CD">
        <w:rPr>
          <w:rFonts w:ascii="Arial" w:hAnsi="Arial" w:cs="Arial"/>
        </w:rPr>
        <w:t>.</w:t>
      </w:r>
    </w:p>
    <w:p w14:paraId="0889EF38" w14:textId="77777777" w:rsidR="0005573D" w:rsidRDefault="0005573D">
      <w:pPr>
        <w:pStyle w:val="Heading8"/>
        <w:jc w:val="both"/>
        <w:rPr>
          <w:rFonts w:ascii="Arial" w:hAnsi="Arial" w:cs="Arial"/>
        </w:rPr>
      </w:pPr>
    </w:p>
    <w:p w14:paraId="0889EF39" w14:textId="77777777" w:rsidR="0005573D" w:rsidRPr="002D71CD" w:rsidRDefault="0005573D">
      <w:pPr>
        <w:pStyle w:val="Heading8"/>
        <w:jc w:val="both"/>
        <w:rPr>
          <w:rFonts w:ascii="Arial" w:hAnsi="Arial" w:cs="Arial"/>
        </w:rPr>
      </w:pPr>
      <w:r w:rsidRPr="002D71CD">
        <w:rPr>
          <w:rFonts w:ascii="Arial" w:hAnsi="Arial" w:cs="Arial"/>
        </w:rPr>
        <w:t>Recommendations</w:t>
      </w:r>
    </w:p>
    <w:p w14:paraId="0889EF3A" w14:textId="77777777" w:rsidR="0005573D" w:rsidRPr="002D71CD" w:rsidRDefault="0005573D">
      <w:pPr>
        <w:jc w:val="both"/>
        <w:rPr>
          <w:rFonts w:ascii="Arial" w:hAnsi="Arial" w:cs="Arial"/>
          <w:sz w:val="24"/>
        </w:rPr>
      </w:pPr>
    </w:p>
    <w:p w14:paraId="0889EF3B" w14:textId="77777777" w:rsidR="0005573D" w:rsidRPr="002D71CD" w:rsidRDefault="0005573D">
      <w:pPr>
        <w:pStyle w:val="BodyText"/>
        <w:jc w:val="both"/>
        <w:rPr>
          <w:rFonts w:ascii="Arial" w:hAnsi="Arial" w:cs="Arial"/>
        </w:rPr>
      </w:pPr>
      <w:r w:rsidRPr="002D71CD">
        <w:rPr>
          <w:rFonts w:ascii="Arial" w:hAnsi="Arial" w:cs="Arial"/>
        </w:rPr>
        <w:t xml:space="preserve">Although the fund has enabled the Department to assist thousands of low-income Illinois households that may have otherwise been without utility service, </w:t>
      </w:r>
      <w:r w:rsidR="00D26CCD" w:rsidRPr="002D71CD">
        <w:rPr>
          <w:rFonts w:ascii="Arial" w:hAnsi="Arial" w:cs="Arial"/>
        </w:rPr>
        <w:t xml:space="preserve">many barriers exist that prevent the </w:t>
      </w:r>
      <w:r w:rsidR="00C5044D" w:rsidRPr="002D71CD">
        <w:rPr>
          <w:rFonts w:ascii="Arial" w:hAnsi="Arial" w:cs="Arial"/>
        </w:rPr>
        <w:t xml:space="preserve">Department </w:t>
      </w:r>
      <w:r w:rsidR="00D26CCD" w:rsidRPr="002D71CD">
        <w:rPr>
          <w:rFonts w:ascii="Arial" w:hAnsi="Arial" w:cs="Arial"/>
        </w:rPr>
        <w:t xml:space="preserve">from </w:t>
      </w:r>
      <w:r w:rsidR="002070C3" w:rsidRPr="002D71CD">
        <w:rPr>
          <w:rFonts w:ascii="Arial" w:hAnsi="Arial" w:cs="Arial"/>
        </w:rPr>
        <w:t>utiliz</w:t>
      </w:r>
      <w:r w:rsidR="00D26CCD" w:rsidRPr="002D71CD">
        <w:rPr>
          <w:rFonts w:ascii="Arial" w:hAnsi="Arial" w:cs="Arial"/>
        </w:rPr>
        <w:t>ing</w:t>
      </w:r>
      <w:r w:rsidR="002070C3" w:rsidRPr="002D71CD">
        <w:rPr>
          <w:rFonts w:ascii="Arial" w:hAnsi="Arial" w:cs="Arial"/>
        </w:rPr>
        <w:t xml:space="preserve"> the fund to effectively </w:t>
      </w:r>
      <w:proofErr w:type="gramStart"/>
      <w:r w:rsidR="002070C3" w:rsidRPr="002D71CD">
        <w:rPr>
          <w:rFonts w:ascii="Arial" w:hAnsi="Arial" w:cs="Arial"/>
        </w:rPr>
        <w:t xml:space="preserve">provide </w:t>
      </w:r>
      <w:r w:rsidRPr="002D71CD">
        <w:rPr>
          <w:rFonts w:ascii="Arial" w:hAnsi="Arial" w:cs="Arial"/>
        </w:rPr>
        <w:t>assistance to</w:t>
      </w:r>
      <w:proofErr w:type="gramEnd"/>
      <w:r w:rsidRPr="002D71CD">
        <w:rPr>
          <w:rFonts w:ascii="Arial" w:hAnsi="Arial" w:cs="Arial"/>
        </w:rPr>
        <w:t xml:space="preserve"> </w:t>
      </w:r>
      <w:r w:rsidR="00CF110E" w:rsidRPr="002D71CD">
        <w:rPr>
          <w:rFonts w:ascii="Arial" w:hAnsi="Arial" w:cs="Arial"/>
        </w:rPr>
        <w:t xml:space="preserve">the </w:t>
      </w:r>
      <w:r w:rsidRPr="002D71CD">
        <w:rPr>
          <w:rFonts w:ascii="Arial" w:hAnsi="Arial" w:cs="Arial"/>
        </w:rPr>
        <w:t>struggling Illinois families</w:t>
      </w:r>
      <w:r w:rsidR="00D26CCD" w:rsidRPr="002D71CD">
        <w:rPr>
          <w:rFonts w:ascii="Arial" w:hAnsi="Arial" w:cs="Arial"/>
        </w:rPr>
        <w:t xml:space="preserve"> for whom this fund was created</w:t>
      </w:r>
      <w:r w:rsidRPr="002D71CD">
        <w:rPr>
          <w:rFonts w:ascii="Arial" w:hAnsi="Arial" w:cs="Arial"/>
        </w:rPr>
        <w:t xml:space="preserve">.  </w:t>
      </w:r>
    </w:p>
    <w:p w14:paraId="0889EF3C" w14:textId="77777777" w:rsidR="0005573D" w:rsidRPr="002D71CD" w:rsidRDefault="0005573D">
      <w:pPr>
        <w:pStyle w:val="BodyText"/>
        <w:jc w:val="both"/>
        <w:rPr>
          <w:rFonts w:ascii="Arial" w:hAnsi="Arial" w:cs="Arial"/>
        </w:rPr>
      </w:pPr>
    </w:p>
    <w:p w14:paraId="0889EF3D" w14:textId="77777777" w:rsidR="0005573D" w:rsidRPr="002D71CD" w:rsidRDefault="00675C28">
      <w:pPr>
        <w:pStyle w:val="BodyText"/>
        <w:jc w:val="both"/>
        <w:rPr>
          <w:rFonts w:ascii="Arial" w:hAnsi="Arial" w:cs="Arial"/>
        </w:rPr>
      </w:pPr>
      <w:r w:rsidRPr="002D71CD">
        <w:rPr>
          <w:rFonts w:ascii="Arial" w:hAnsi="Arial" w:cs="Arial"/>
        </w:rPr>
        <w:t xml:space="preserve">The following </w:t>
      </w:r>
      <w:r w:rsidR="00567D0F" w:rsidRPr="002D71CD">
        <w:rPr>
          <w:rFonts w:ascii="Arial" w:hAnsi="Arial" w:cs="Arial"/>
        </w:rPr>
        <w:t>issues prevent the Department from achieving the goals of the fund</w:t>
      </w:r>
      <w:r w:rsidR="0005573D" w:rsidRPr="002D71CD">
        <w:rPr>
          <w:rFonts w:ascii="Arial" w:hAnsi="Arial" w:cs="Arial"/>
        </w:rPr>
        <w:t>:</w:t>
      </w:r>
    </w:p>
    <w:p w14:paraId="0889EF3E" w14:textId="77777777" w:rsidR="0005573D" w:rsidRPr="002D71CD" w:rsidRDefault="0005573D">
      <w:pPr>
        <w:pStyle w:val="BodyText"/>
        <w:jc w:val="both"/>
        <w:rPr>
          <w:rFonts w:ascii="Arial" w:hAnsi="Arial" w:cs="Arial"/>
        </w:rPr>
      </w:pPr>
    </w:p>
    <w:p w14:paraId="0889EF3F" w14:textId="77777777" w:rsidR="0005573D" w:rsidRPr="002D71CD" w:rsidRDefault="00567D0F">
      <w:pPr>
        <w:pStyle w:val="BodyText"/>
        <w:numPr>
          <w:ilvl w:val="0"/>
          <w:numId w:val="11"/>
        </w:numPr>
        <w:jc w:val="both"/>
        <w:rPr>
          <w:rFonts w:ascii="Arial" w:hAnsi="Arial" w:cs="Arial"/>
        </w:rPr>
      </w:pPr>
      <w:r w:rsidRPr="002D71CD">
        <w:rPr>
          <w:rFonts w:ascii="Arial" w:hAnsi="Arial" w:cs="Arial"/>
        </w:rPr>
        <w:lastRenderedPageBreak/>
        <w:t>R</w:t>
      </w:r>
      <w:r w:rsidR="000C2D76" w:rsidRPr="002D71CD">
        <w:rPr>
          <w:rFonts w:ascii="Arial" w:hAnsi="Arial" w:cs="Arial"/>
        </w:rPr>
        <w:t xml:space="preserve">equirement </w:t>
      </w:r>
      <w:r w:rsidR="002070C3" w:rsidRPr="002D71CD">
        <w:rPr>
          <w:rFonts w:ascii="Arial" w:hAnsi="Arial" w:cs="Arial"/>
        </w:rPr>
        <w:t xml:space="preserve">that the funds collected be utilized in the </w:t>
      </w:r>
      <w:proofErr w:type="spellStart"/>
      <w:r w:rsidR="002070C3" w:rsidRPr="002D71CD">
        <w:rPr>
          <w:rFonts w:ascii="Arial" w:hAnsi="Arial" w:cs="Arial"/>
        </w:rPr>
        <w:t>county</w:t>
      </w:r>
      <w:proofErr w:type="spellEnd"/>
      <w:r w:rsidR="002070C3" w:rsidRPr="002D71CD">
        <w:rPr>
          <w:rFonts w:ascii="Arial" w:hAnsi="Arial" w:cs="Arial"/>
        </w:rPr>
        <w:t xml:space="preserve"> of origin</w:t>
      </w:r>
      <w:r w:rsidR="00125E6B" w:rsidRPr="002D71CD">
        <w:rPr>
          <w:rFonts w:ascii="Arial" w:hAnsi="Arial" w:cs="Arial"/>
        </w:rPr>
        <w:t xml:space="preserve"> presents administrative challenges</w:t>
      </w:r>
      <w:r w:rsidR="007B58A8">
        <w:rPr>
          <w:rFonts w:ascii="Arial" w:hAnsi="Arial" w:cs="Arial"/>
        </w:rPr>
        <w:t>;</w:t>
      </w:r>
    </w:p>
    <w:p w14:paraId="0889EF40" w14:textId="77777777" w:rsidR="0005573D" w:rsidRPr="002D71CD" w:rsidRDefault="00CF110E">
      <w:pPr>
        <w:pStyle w:val="BodyText"/>
        <w:numPr>
          <w:ilvl w:val="0"/>
          <w:numId w:val="11"/>
        </w:numPr>
        <w:jc w:val="both"/>
        <w:rPr>
          <w:rFonts w:ascii="Arial" w:hAnsi="Arial" w:cs="Arial"/>
        </w:rPr>
      </w:pPr>
      <w:r w:rsidRPr="002D71CD">
        <w:rPr>
          <w:rFonts w:ascii="Arial" w:hAnsi="Arial" w:cs="Arial"/>
        </w:rPr>
        <w:t xml:space="preserve">The </w:t>
      </w:r>
      <w:r w:rsidR="000E09A6" w:rsidRPr="002D71CD">
        <w:rPr>
          <w:rFonts w:ascii="Arial" w:hAnsi="Arial" w:cs="Arial"/>
        </w:rPr>
        <w:t>fundraising efforts for this fund are in direct competition with the “dollar more” initiatives of many of the larger utilities in the state</w:t>
      </w:r>
      <w:r w:rsidR="002070C3" w:rsidRPr="002D71CD">
        <w:rPr>
          <w:rFonts w:ascii="Arial" w:hAnsi="Arial" w:cs="Arial"/>
        </w:rPr>
        <w:t xml:space="preserve">, </w:t>
      </w:r>
      <w:r w:rsidR="000E09A6" w:rsidRPr="002D71CD">
        <w:rPr>
          <w:rFonts w:ascii="Arial" w:hAnsi="Arial" w:cs="Arial"/>
        </w:rPr>
        <w:t>which significantly reduce the contributions</w:t>
      </w:r>
      <w:r w:rsidR="007B58A8">
        <w:rPr>
          <w:rFonts w:ascii="Arial" w:hAnsi="Arial" w:cs="Arial"/>
        </w:rPr>
        <w:t>;</w:t>
      </w:r>
      <w:r w:rsidR="000E09A6" w:rsidRPr="002D71CD">
        <w:rPr>
          <w:rFonts w:ascii="Arial" w:hAnsi="Arial" w:cs="Arial"/>
        </w:rPr>
        <w:t xml:space="preserve"> </w:t>
      </w:r>
      <w:r w:rsidR="002070C3" w:rsidRPr="002D71CD">
        <w:rPr>
          <w:rFonts w:ascii="Arial" w:hAnsi="Arial" w:cs="Arial"/>
        </w:rPr>
        <w:t>and</w:t>
      </w:r>
    </w:p>
    <w:p w14:paraId="0889EF41" w14:textId="77777777" w:rsidR="0005573D" w:rsidRPr="002D71CD" w:rsidRDefault="000E09A6">
      <w:pPr>
        <w:pStyle w:val="BodyText"/>
        <w:numPr>
          <w:ilvl w:val="0"/>
          <w:numId w:val="11"/>
        </w:numPr>
        <w:jc w:val="both"/>
        <w:rPr>
          <w:rFonts w:ascii="Arial" w:hAnsi="Arial" w:cs="Arial"/>
        </w:rPr>
      </w:pPr>
      <w:r w:rsidRPr="002D71CD">
        <w:rPr>
          <w:rFonts w:ascii="Arial" w:hAnsi="Arial" w:cs="Arial"/>
        </w:rPr>
        <w:t>The significant reduction in contributions to the fund over the past several years has resulted in an insufficient amount of funding to make any real impact toward the fund’s initial purpose</w:t>
      </w:r>
      <w:r w:rsidR="0005573D" w:rsidRPr="002D71CD">
        <w:rPr>
          <w:rFonts w:ascii="Arial" w:hAnsi="Arial" w:cs="Arial"/>
        </w:rPr>
        <w:t>.</w:t>
      </w:r>
    </w:p>
    <w:p w14:paraId="0889EF42" w14:textId="77777777" w:rsidR="00C0555A" w:rsidRPr="002D71CD" w:rsidRDefault="00C0555A" w:rsidP="00C0555A">
      <w:pPr>
        <w:pStyle w:val="BodyText"/>
        <w:ind w:left="720"/>
        <w:jc w:val="both"/>
        <w:rPr>
          <w:rFonts w:ascii="Arial" w:hAnsi="Arial" w:cs="Arial"/>
        </w:rPr>
      </w:pPr>
    </w:p>
    <w:p w14:paraId="0889EF43" w14:textId="77777777" w:rsidR="0005573D" w:rsidRPr="002D71CD" w:rsidRDefault="000E09A6" w:rsidP="000E09A6">
      <w:pPr>
        <w:pStyle w:val="BodyText"/>
        <w:jc w:val="both"/>
        <w:rPr>
          <w:rFonts w:ascii="Arial" w:hAnsi="Arial" w:cs="Arial"/>
        </w:rPr>
      </w:pPr>
      <w:r w:rsidRPr="002D71CD">
        <w:rPr>
          <w:rFonts w:ascii="Arial" w:hAnsi="Arial" w:cs="Arial"/>
        </w:rPr>
        <w:t xml:space="preserve">As a result of the barriers outlined </w:t>
      </w:r>
      <w:r w:rsidR="00C0555A" w:rsidRPr="002D71CD">
        <w:rPr>
          <w:rFonts w:ascii="Arial" w:hAnsi="Arial" w:cs="Arial"/>
        </w:rPr>
        <w:t>in this report</w:t>
      </w:r>
      <w:r w:rsidRPr="002D71CD">
        <w:rPr>
          <w:rFonts w:ascii="Arial" w:hAnsi="Arial" w:cs="Arial"/>
        </w:rPr>
        <w:t xml:space="preserve">, it is the recommendation of the Department that the Good Samaritan Energy Trust Fund be abolished, and that any residual </w:t>
      </w:r>
      <w:r w:rsidR="00C0555A" w:rsidRPr="002D71CD">
        <w:rPr>
          <w:rFonts w:ascii="Arial" w:hAnsi="Arial" w:cs="Arial"/>
        </w:rPr>
        <w:t>mone</w:t>
      </w:r>
      <w:r w:rsidR="000B5F03">
        <w:rPr>
          <w:rFonts w:ascii="Arial" w:hAnsi="Arial" w:cs="Arial"/>
        </w:rPr>
        <w:t>y</w:t>
      </w:r>
      <w:r w:rsidR="00C0555A" w:rsidRPr="002D71CD">
        <w:rPr>
          <w:rFonts w:ascii="Arial" w:hAnsi="Arial" w:cs="Arial"/>
        </w:rPr>
        <w:t xml:space="preserve">s </w:t>
      </w:r>
      <w:r w:rsidRPr="002D71CD">
        <w:rPr>
          <w:rFonts w:ascii="Arial" w:hAnsi="Arial" w:cs="Arial"/>
        </w:rPr>
        <w:t>available</w:t>
      </w:r>
      <w:r w:rsidR="00C0555A" w:rsidRPr="002D71CD">
        <w:rPr>
          <w:rFonts w:ascii="Arial" w:hAnsi="Arial" w:cs="Arial"/>
        </w:rPr>
        <w:t xml:space="preserve"> in the fund be transferred to the Supplemental Low Income Energy Assistance Fund to be utilized to provide energy assistance payments to eligible low income households according to the LIHEAP program rules.</w:t>
      </w:r>
    </w:p>
    <w:p w14:paraId="0889EF44" w14:textId="77777777" w:rsidR="00C0555A" w:rsidRPr="002D71CD" w:rsidRDefault="00C0555A" w:rsidP="000E09A6">
      <w:pPr>
        <w:pStyle w:val="BodyText"/>
        <w:jc w:val="both"/>
        <w:rPr>
          <w:rFonts w:ascii="Arial" w:hAnsi="Arial" w:cs="Arial"/>
        </w:rPr>
      </w:pPr>
    </w:p>
    <w:p w14:paraId="0889EF46" w14:textId="6399D45C" w:rsidR="0005573D" w:rsidRPr="00915A70" w:rsidRDefault="0005573D" w:rsidP="00915A70">
      <w:pPr>
        <w:pStyle w:val="Heading8"/>
        <w:jc w:val="both"/>
        <w:rPr>
          <w:rFonts w:ascii="Arial" w:hAnsi="Arial" w:cs="Arial"/>
          <w:b w:val="0"/>
          <w:szCs w:val="24"/>
        </w:rPr>
      </w:pPr>
      <w:r w:rsidRPr="00915A70">
        <w:rPr>
          <w:rFonts w:ascii="Arial" w:hAnsi="Arial" w:cs="Arial"/>
        </w:rPr>
        <w:t>Conclusion</w:t>
      </w:r>
    </w:p>
    <w:p w14:paraId="0889EF47" w14:textId="77777777" w:rsidR="0005573D" w:rsidRPr="002D71CD" w:rsidRDefault="0005573D">
      <w:pPr>
        <w:jc w:val="both"/>
        <w:rPr>
          <w:rFonts w:ascii="Arial" w:hAnsi="Arial" w:cs="Arial"/>
          <w:sz w:val="24"/>
        </w:rPr>
      </w:pPr>
    </w:p>
    <w:p w14:paraId="0889EF48" w14:textId="17FEABB4" w:rsidR="002070C3" w:rsidRPr="002D71CD" w:rsidRDefault="002D71CD" w:rsidP="002070C3">
      <w:pPr>
        <w:pStyle w:val="Heading3"/>
        <w:jc w:val="both"/>
        <w:rPr>
          <w:rFonts w:ascii="Arial" w:hAnsi="Arial" w:cs="Arial"/>
        </w:rPr>
      </w:pPr>
      <w:r>
        <w:rPr>
          <w:rFonts w:ascii="Arial" w:hAnsi="Arial" w:cs="Arial"/>
        </w:rPr>
        <w:t>D</w:t>
      </w:r>
      <w:r w:rsidRPr="002D71CD">
        <w:rPr>
          <w:rFonts w:ascii="Arial" w:hAnsi="Arial" w:cs="Arial"/>
        </w:rPr>
        <w:t xml:space="preserve">uring </w:t>
      </w:r>
      <w:r w:rsidR="000E09A6" w:rsidRPr="002D71CD">
        <w:rPr>
          <w:rFonts w:ascii="Arial" w:hAnsi="Arial" w:cs="Arial"/>
        </w:rPr>
        <w:t xml:space="preserve">the initial years of the fund, </w:t>
      </w:r>
      <w:r w:rsidR="0005573D" w:rsidRPr="002D71CD">
        <w:rPr>
          <w:rFonts w:ascii="Arial" w:hAnsi="Arial" w:cs="Arial"/>
        </w:rPr>
        <w:t xml:space="preserve">the Department </w:t>
      </w:r>
      <w:r w:rsidR="000E09A6" w:rsidRPr="002D71CD">
        <w:rPr>
          <w:rFonts w:ascii="Arial" w:hAnsi="Arial" w:cs="Arial"/>
        </w:rPr>
        <w:t xml:space="preserve">was </w:t>
      </w:r>
      <w:r w:rsidR="0005573D" w:rsidRPr="002D71CD">
        <w:rPr>
          <w:rFonts w:ascii="Arial" w:hAnsi="Arial" w:cs="Arial"/>
        </w:rPr>
        <w:t xml:space="preserve">able to successfully utilize the funding provided from the Good Samaritan Energy Trust </w:t>
      </w:r>
      <w:bookmarkStart w:id="0" w:name="_GoBack"/>
      <w:bookmarkEnd w:id="0"/>
      <w:r w:rsidR="0005573D" w:rsidRPr="002D71CD">
        <w:rPr>
          <w:rFonts w:ascii="Arial" w:hAnsi="Arial" w:cs="Arial"/>
        </w:rPr>
        <w:t xml:space="preserve">Fund to improve the lives of low-income Illinois families.  </w:t>
      </w:r>
      <w:r w:rsidR="000E09A6" w:rsidRPr="002D71CD">
        <w:rPr>
          <w:rFonts w:ascii="Arial" w:hAnsi="Arial" w:cs="Arial"/>
        </w:rPr>
        <w:t xml:space="preserve">However, given the significant barriers that have arisen in the years subsequent to the fund’s creation, it no longer has the capacity to provide </w:t>
      </w:r>
      <w:r w:rsidR="00C0555A" w:rsidRPr="002D71CD">
        <w:rPr>
          <w:rFonts w:ascii="Arial" w:hAnsi="Arial" w:cs="Arial"/>
        </w:rPr>
        <w:t>the impact as initially intended</w:t>
      </w:r>
      <w:r w:rsidR="002070C3" w:rsidRPr="002D71CD">
        <w:rPr>
          <w:rFonts w:ascii="Arial" w:hAnsi="Arial" w:cs="Arial"/>
        </w:rPr>
        <w:t>.</w:t>
      </w:r>
      <w:r w:rsidR="00E05DE6">
        <w:rPr>
          <w:rFonts w:ascii="Arial" w:hAnsi="Arial" w:cs="Arial"/>
        </w:rPr>
        <w:t xml:space="preserve">  </w:t>
      </w:r>
      <w:r w:rsidR="00E05DE6" w:rsidRPr="006957AA">
        <w:rPr>
          <w:rFonts w:ascii="Arial" w:hAnsi="Arial" w:cs="Arial"/>
        </w:rPr>
        <w:t>The Department will seek legislative remedy in the 202</w:t>
      </w:r>
      <w:r w:rsidR="00BE4ACD" w:rsidRPr="006957AA">
        <w:rPr>
          <w:rFonts w:ascii="Arial" w:hAnsi="Arial" w:cs="Arial"/>
        </w:rPr>
        <w:t>1</w:t>
      </w:r>
      <w:r w:rsidR="00E05DE6" w:rsidRPr="006957AA">
        <w:rPr>
          <w:rFonts w:ascii="Arial" w:hAnsi="Arial" w:cs="Arial"/>
        </w:rPr>
        <w:t xml:space="preserve"> legislative session.</w:t>
      </w:r>
    </w:p>
    <w:p w14:paraId="0889EF49" w14:textId="77777777" w:rsidR="0005573D" w:rsidRPr="002070C3" w:rsidRDefault="0005573D" w:rsidP="002070C3">
      <w:pPr>
        <w:pStyle w:val="Heading3"/>
        <w:jc w:val="both"/>
        <w:rPr>
          <w:rFonts w:ascii="Arial" w:hAnsi="Arial" w:cs="Arial"/>
          <w:highlight w:val="yellow"/>
        </w:rPr>
      </w:pPr>
    </w:p>
    <w:p w14:paraId="0889EF4A" w14:textId="77777777" w:rsidR="0005573D" w:rsidRDefault="0005573D">
      <w:pPr>
        <w:pStyle w:val="Heading7"/>
        <w:rPr>
          <w:rFonts w:ascii="Arial" w:hAnsi="Arial" w:cs="Arial"/>
        </w:rPr>
      </w:pPr>
    </w:p>
    <w:sectPr w:rsidR="0005573D" w:rsidSect="00CF1EC7">
      <w:headerReference w:type="even" r:id="rId11"/>
      <w:headerReference w:type="default" r:id="rId12"/>
      <w:footerReference w:type="even" r:id="rId13"/>
      <w:footerReference w:type="default" r:id="rId14"/>
      <w:headerReference w:type="first" r:id="rId15"/>
      <w:footerReference w:type="first" r:id="rId16"/>
      <w:pgSz w:w="12240" w:h="15840"/>
      <w:pgMar w:top="63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9EF4D" w14:textId="77777777" w:rsidR="004462C7" w:rsidRDefault="004462C7">
      <w:r>
        <w:separator/>
      </w:r>
    </w:p>
  </w:endnote>
  <w:endnote w:type="continuationSeparator" w:id="0">
    <w:p w14:paraId="0889EF4E" w14:textId="77777777" w:rsidR="004462C7" w:rsidRDefault="0044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9EF51" w14:textId="77777777" w:rsidR="0062772F" w:rsidRDefault="00627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342916"/>
      <w:docPartObj>
        <w:docPartGallery w:val="Page Numbers (Bottom of Page)"/>
        <w:docPartUnique/>
      </w:docPartObj>
    </w:sdtPr>
    <w:sdtEndPr>
      <w:rPr>
        <w:rFonts w:ascii="Arial" w:hAnsi="Arial" w:cs="Arial"/>
        <w:noProof/>
      </w:rPr>
    </w:sdtEndPr>
    <w:sdtContent>
      <w:p w14:paraId="0889EF52" w14:textId="7D845B95" w:rsidR="002D71CD" w:rsidRPr="00F20CDE" w:rsidRDefault="002D71CD">
        <w:pPr>
          <w:pStyle w:val="Footer"/>
          <w:jc w:val="center"/>
          <w:rPr>
            <w:rFonts w:ascii="Arial" w:hAnsi="Arial" w:cs="Arial"/>
          </w:rPr>
        </w:pPr>
        <w:r w:rsidRPr="00F20CDE">
          <w:rPr>
            <w:rFonts w:ascii="Arial" w:hAnsi="Arial" w:cs="Arial"/>
          </w:rPr>
          <w:fldChar w:fldCharType="begin"/>
        </w:r>
        <w:r w:rsidRPr="00F20CDE">
          <w:rPr>
            <w:rFonts w:ascii="Arial" w:hAnsi="Arial" w:cs="Arial"/>
          </w:rPr>
          <w:instrText xml:space="preserve"> PAGE   \* MERGEFORMAT </w:instrText>
        </w:r>
        <w:r w:rsidRPr="00F20CDE">
          <w:rPr>
            <w:rFonts w:ascii="Arial" w:hAnsi="Arial" w:cs="Arial"/>
          </w:rPr>
          <w:fldChar w:fldCharType="separate"/>
        </w:r>
        <w:r w:rsidR="002C414E">
          <w:rPr>
            <w:rFonts w:ascii="Arial" w:hAnsi="Arial" w:cs="Arial"/>
            <w:noProof/>
          </w:rPr>
          <w:t>7</w:t>
        </w:r>
        <w:r w:rsidRPr="00F20CDE">
          <w:rPr>
            <w:rFonts w:ascii="Arial" w:hAnsi="Arial" w:cs="Arial"/>
            <w:noProof/>
          </w:rPr>
          <w:fldChar w:fldCharType="end"/>
        </w:r>
      </w:p>
    </w:sdtContent>
  </w:sdt>
  <w:p w14:paraId="0889EF53" w14:textId="77777777" w:rsidR="002D71CD" w:rsidRDefault="002D71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9EF55" w14:textId="77777777" w:rsidR="0062772F" w:rsidRDefault="00627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9EF4B" w14:textId="77777777" w:rsidR="004462C7" w:rsidRDefault="004462C7">
      <w:r>
        <w:separator/>
      </w:r>
    </w:p>
  </w:footnote>
  <w:footnote w:type="continuationSeparator" w:id="0">
    <w:p w14:paraId="0889EF4C" w14:textId="77777777" w:rsidR="004462C7" w:rsidRDefault="0044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9EF4F" w14:textId="77777777" w:rsidR="0062772F" w:rsidRDefault="00627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9EF50" w14:textId="6FE7087F" w:rsidR="0062772F" w:rsidRDefault="00627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9EF54" w14:textId="77777777" w:rsidR="0062772F" w:rsidRDefault="00627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A0B"/>
    <w:multiLevelType w:val="hybridMultilevel"/>
    <w:tmpl w:val="688EA0F4"/>
    <w:lvl w:ilvl="0" w:tplc="EC96DEC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F62C0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9BF21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7215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3F08E6"/>
    <w:multiLevelType w:val="hybridMultilevel"/>
    <w:tmpl w:val="40767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972C38"/>
    <w:multiLevelType w:val="hybridMultilevel"/>
    <w:tmpl w:val="11DC6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D91A2D"/>
    <w:multiLevelType w:val="hybridMultilevel"/>
    <w:tmpl w:val="D75692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1E70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4727C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32F530A5"/>
    <w:multiLevelType w:val="hybridMultilevel"/>
    <w:tmpl w:val="BDF858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5203B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7B73DE"/>
    <w:multiLevelType w:val="hybridMultilevel"/>
    <w:tmpl w:val="B846F57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44727CF1"/>
    <w:multiLevelType w:val="hybridMultilevel"/>
    <w:tmpl w:val="D92E6AB6"/>
    <w:lvl w:ilvl="0" w:tplc="9564B0E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8006C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DFC0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7692E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53B45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F226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6DD4710"/>
    <w:multiLevelType w:val="hybridMultilevel"/>
    <w:tmpl w:val="E23E02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EE73B1E"/>
    <w:multiLevelType w:val="hybridMultilevel"/>
    <w:tmpl w:val="64CA2F2A"/>
    <w:lvl w:ilvl="0" w:tplc="3E3ABD0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3"/>
  </w:num>
  <w:num w:numId="3">
    <w:abstractNumId w:val="15"/>
  </w:num>
  <w:num w:numId="4">
    <w:abstractNumId w:val="17"/>
  </w:num>
  <w:num w:numId="5">
    <w:abstractNumId w:val="14"/>
  </w:num>
  <w:num w:numId="6">
    <w:abstractNumId w:val="16"/>
  </w:num>
  <w:num w:numId="7">
    <w:abstractNumId w:val="10"/>
  </w:num>
  <w:num w:numId="8">
    <w:abstractNumId w:val="7"/>
  </w:num>
  <w:num w:numId="9">
    <w:abstractNumId w:val="3"/>
  </w:num>
  <w:num w:numId="10">
    <w:abstractNumId w:val="2"/>
  </w:num>
  <w:num w:numId="11">
    <w:abstractNumId w:val="8"/>
  </w:num>
  <w:num w:numId="12">
    <w:abstractNumId w:val="6"/>
  </w:num>
  <w:num w:numId="13">
    <w:abstractNumId w:val="18"/>
  </w:num>
  <w:num w:numId="14">
    <w:abstractNumId w:val="9"/>
  </w:num>
  <w:num w:numId="15">
    <w:abstractNumId w:val="4"/>
  </w:num>
  <w:num w:numId="16">
    <w:abstractNumId w:val="12"/>
  </w:num>
  <w:num w:numId="17">
    <w:abstractNumId w:val="19"/>
  </w:num>
  <w:num w:numId="18">
    <w:abstractNumId w:val="0"/>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C4"/>
    <w:rsid w:val="00040260"/>
    <w:rsid w:val="00044C5B"/>
    <w:rsid w:val="000462EA"/>
    <w:rsid w:val="00046E04"/>
    <w:rsid w:val="00052C25"/>
    <w:rsid w:val="0005573D"/>
    <w:rsid w:val="00063717"/>
    <w:rsid w:val="00064C9F"/>
    <w:rsid w:val="00070B7F"/>
    <w:rsid w:val="0008744E"/>
    <w:rsid w:val="0009053B"/>
    <w:rsid w:val="000B0BEA"/>
    <w:rsid w:val="000B5F03"/>
    <w:rsid w:val="000C2D76"/>
    <w:rsid w:val="000E09A6"/>
    <w:rsid w:val="00110A1B"/>
    <w:rsid w:val="00111925"/>
    <w:rsid w:val="00125516"/>
    <w:rsid w:val="00125E6B"/>
    <w:rsid w:val="0014207A"/>
    <w:rsid w:val="001445B7"/>
    <w:rsid w:val="00150899"/>
    <w:rsid w:val="001718E5"/>
    <w:rsid w:val="00191D98"/>
    <w:rsid w:val="001A7359"/>
    <w:rsid w:val="001B3499"/>
    <w:rsid w:val="001B393E"/>
    <w:rsid w:val="001B5880"/>
    <w:rsid w:val="001C073D"/>
    <w:rsid w:val="001C0CAC"/>
    <w:rsid w:val="001F2578"/>
    <w:rsid w:val="001F2D93"/>
    <w:rsid w:val="001F6F0E"/>
    <w:rsid w:val="002070C3"/>
    <w:rsid w:val="002111E0"/>
    <w:rsid w:val="00213A46"/>
    <w:rsid w:val="002165EA"/>
    <w:rsid w:val="002242EA"/>
    <w:rsid w:val="00237AF5"/>
    <w:rsid w:val="002544EA"/>
    <w:rsid w:val="00261B0A"/>
    <w:rsid w:val="00283CEF"/>
    <w:rsid w:val="002A6BB3"/>
    <w:rsid w:val="002C414E"/>
    <w:rsid w:val="002D71CD"/>
    <w:rsid w:val="002E1505"/>
    <w:rsid w:val="002F0422"/>
    <w:rsid w:val="0037618B"/>
    <w:rsid w:val="00376E6D"/>
    <w:rsid w:val="003920A5"/>
    <w:rsid w:val="003D2061"/>
    <w:rsid w:val="003D7EE1"/>
    <w:rsid w:val="003E2BA0"/>
    <w:rsid w:val="003E39F8"/>
    <w:rsid w:val="004115BC"/>
    <w:rsid w:val="004462C7"/>
    <w:rsid w:val="00450386"/>
    <w:rsid w:val="004539F7"/>
    <w:rsid w:val="005444B0"/>
    <w:rsid w:val="00546462"/>
    <w:rsid w:val="00564BBF"/>
    <w:rsid w:val="00567D0F"/>
    <w:rsid w:val="0057779E"/>
    <w:rsid w:val="005949B9"/>
    <w:rsid w:val="005A4726"/>
    <w:rsid w:val="005B2157"/>
    <w:rsid w:val="005C203D"/>
    <w:rsid w:val="005C3AB4"/>
    <w:rsid w:val="005C5488"/>
    <w:rsid w:val="005C60F3"/>
    <w:rsid w:val="005D0A74"/>
    <w:rsid w:val="005D4572"/>
    <w:rsid w:val="00617D36"/>
    <w:rsid w:val="0062772F"/>
    <w:rsid w:val="0063461A"/>
    <w:rsid w:val="00637730"/>
    <w:rsid w:val="00666F31"/>
    <w:rsid w:val="00670F6A"/>
    <w:rsid w:val="00675BC3"/>
    <w:rsid w:val="00675C28"/>
    <w:rsid w:val="0068635C"/>
    <w:rsid w:val="0069242D"/>
    <w:rsid w:val="006957AA"/>
    <w:rsid w:val="006A47EB"/>
    <w:rsid w:val="006B73B8"/>
    <w:rsid w:val="006E4DE9"/>
    <w:rsid w:val="006E5CE1"/>
    <w:rsid w:val="006F24C3"/>
    <w:rsid w:val="007005B5"/>
    <w:rsid w:val="007261FF"/>
    <w:rsid w:val="00733AC4"/>
    <w:rsid w:val="00746449"/>
    <w:rsid w:val="00760A23"/>
    <w:rsid w:val="00763A32"/>
    <w:rsid w:val="007655C1"/>
    <w:rsid w:val="007A0693"/>
    <w:rsid w:val="007B58A8"/>
    <w:rsid w:val="007D509B"/>
    <w:rsid w:val="007E5062"/>
    <w:rsid w:val="007F7B65"/>
    <w:rsid w:val="00844218"/>
    <w:rsid w:val="008545C3"/>
    <w:rsid w:val="008C2737"/>
    <w:rsid w:val="008F4716"/>
    <w:rsid w:val="00904C4F"/>
    <w:rsid w:val="00914FF3"/>
    <w:rsid w:val="00915A70"/>
    <w:rsid w:val="00934C49"/>
    <w:rsid w:val="00954C64"/>
    <w:rsid w:val="00961EE2"/>
    <w:rsid w:val="009819BA"/>
    <w:rsid w:val="00990AA9"/>
    <w:rsid w:val="009931BE"/>
    <w:rsid w:val="009E1678"/>
    <w:rsid w:val="00A01055"/>
    <w:rsid w:val="00A164E1"/>
    <w:rsid w:val="00A171DB"/>
    <w:rsid w:val="00A469AC"/>
    <w:rsid w:val="00A608DB"/>
    <w:rsid w:val="00A93E20"/>
    <w:rsid w:val="00AA2D57"/>
    <w:rsid w:val="00AA6378"/>
    <w:rsid w:val="00AA6435"/>
    <w:rsid w:val="00AB074E"/>
    <w:rsid w:val="00AC12BB"/>
    <w:rsid w:val="00AE3194"/>
    <w:rsid w:val="00AF542A"/>
    <w:rsid w:val="00B1665E"/>
    <w:rsid w:val="00B301B0"/>
    <w:rsid w:val="00B342E1"/>
    <w:rsid w:val="00B51384"/>
    <w:rsid w:val="00B7672E"/>
    <w:rsid w:val="00BE4ACD"/>
    <w:rsid w:val="00C0555A"/>
    <w:rsid w:val="00C202A8"/>
    <w:rsid w:val="00C5044D"/>
    <w:rsid w:val="00C55DE3"/>
    <w:rsid w:val="00C7053A"/>
    <w:rsid w:val="00C75A62"/>
    <w:rsid w:val="00C94B0D"/>
    <w:rsid w:val="00CB44F1"/>
    <w:rsid w:val="00CC4180"/>
    <w:rsid w:val="00CC5326"/>
    <w:rsid w:val="00CC5753"/>
    <w:rsid w:val="00CC6E88"/>
    <w:rsid w:val="00CE1C63"/>
    <w:rsid w:val="00CE7A1C"/>
    <w:rsid w:val="00CF110E"/>
    <w:rsid w:val="00CF1EC7"/>
    <w:rsid w:val="00D17E18"/>
    <w:rsid w:val="00D25C92"/>
    <w:rsid w:val="00D26CCD"/>
    <w:rsid w:val="00D376B4"/>
    <w:rsid w:val="00D50F6A"/>
    <w:rsid w:val="00DA472F"/>
    <w:rsid w:val="00DB6555"/>
    <w:rsid w:val="00DC1834"/>
    <w:rsid w:val="00DD2446"/>
    <w:rsid w:val="00DF0CA9"/>
    <w:rsid w:val="00E04796"/>
    <w:rsid w:val="00E04A1D"/>
    <w:rsid w:val="00E05DE6"/>
    <w:rsid w:val="00E07FA7"/>
    <w:rsid w:val="00E305FE"/>
    <w:rsid w:val="00E4536F"/>
    <w:rsid w:val="00E94743"/>
    <w:rsid w:val="00EE456B"/>
    <w:rsid w:val="00EF35E6"/>
    <w:rsid w:val="00F20880"/>
    <w:rsid w:val="00F20CDE"/>
    <w:rsid w:val="00F37CDF"/>
    <w:rsid w:val="00F54BFF"/>
    <w:rsid w:val="00F54D8D"/>
    <w:rsid w:val="00FC36D7"/>
    <w:rsid w:val="00FC5DCC"/>
    <w:rsid w:val="00FD3293"/>
    <w:rsid w:val="00FD6B60"/>
    <w:rsid w:val="00FF0333"/>
    <w:rsid w:val="00FF3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0889EDF8"/>
  <w15:docId w15:val="{BA42875F-C0BC-4E4B-AAE2-F371C1D9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F24C3"/>
  </w:style>
  <w:style w:type="paragraph" w:styleId="Heading1">
    <w:name w:val="heading 1"/>
    <w:basedOn w:val="Normal"/>
    <w:next w:val="Normal"/>
    <w:qFormat/>
    <w:rsid w:val="006F24C3"/>
    <w:pPr>
      <w:keepNext/>
      <w:outlineLvl w:val="0"/>
    </w:pPr>
    <w:rPr>
      <w:b/>
      <w:u w:val="single"/>
    </w:rPr>
  </w:style>
  <w:style w:type="paragraph" w:styleId="Heading2">
    <w:name w:val="heading 2"/>
    <w:basedOn w:val="Normal"/>
    <w:next w:val="Normal"/>
    <w:qFormat/>
    <w:rsid w:val="006F24C3"/>
    <w:pPr>
      <w:keepNext/>
      <w:jc w:val="center"/>
      <w:outlineLvl w:val="1"/>
    </w:pPr>
    <w:rPr>
      <w:b/>
      <w:sz w:val="24"/>
      <w:u w:val="single"/>
    </w:rPr>
  </w:style>
  <w:style w:type="paragraph" w:styleId="Heading3">
    <w:name w:val="heading 3"/>
    <w:basedOn w:val="Normal"/>
    <w:next w:val="Normal"/>
    <w:qFormat/>
    <w:rsid w:val="006F24C3"/>
    <w:pPr>
      <w:keepNext/>
      <w:outlineLvl w:val="2"/>
    </w:pPr>
    <w:rPr>
      <w:sz w:val="24"/>
    </w:rPr>
  </w:style>
  <w:style w:type="paragraph" w:styleId="Heading4">
    <w:name w:val="heading 4"/>
    <w:basedOn w:val="Normal"/>
    <w:next w:val="Normal"/>
    <w:qFormat/>
    <w:rsid w:val="006F24C3"/>
    <w:pPr>
      <w:keepNext/>
      <w:jc w:val="center"/>
      <w:outlineLvl w:val="3"/>
    </w:pPr>
    <w:rPr>
      <w:sz w:val="24"/>
    </w:rPr>
  </w:style>
  <w:style w:type="paragraph" w:styleId="Heading5">
    <w:name w:val="heading 5"/>
    <w:basedOn w:val="Normal"/>
    <w:next w:val="Normal"/>
    <w:qFormat/>
    <w:rsid w:val="006F24C3"/>
    <w:pPr>
      <w:keepNext/>
      <w:jc w:val="center"/>
      <w:outlineLvl w:val="4"/>
    </w:pPr>
    <w:rPr>
      <w:b/>
      <w:sz w:val="24"/>
    </w:rPr>
  </w:style>
  <w:style w:type="paragraph" w:styleId="Heading6">
    <w:name w:val="heading 6"/>
    <w:basedOn w:val="Normal"/>
    <w:next w:val="Normal"/>
    <w:qFormat/>
    <w:rsid w:val="006F24C3"/>
    <w:pPr>
      <w:keepNext/>
      <w:outlineLvl w:val="5"/>
    </w:pPr>
    <w:rPr>
      <w:b/>
      <w:sz w:val="24"/>
    </w:rPr>
  </w:style>
  <w:style w:type="paragraph" w:styleId="Heading7">
    <w:name w:val="heading 7"/>
    <w:basedOn w:val="Normal"/>
    <w:next w:val="Normal"/>
    <w:qFormat/>
    <w:rsid w:val="006F24C3"/>
    <w:pPr>
      <w:keepNext/>
      <w:jc w:val="center"/>
      <w:outlineLvl w:val="6"/>
    </w:pPr>
    <w:rPr>
      <w:sz w:val="32"/>
    </w:rPr>
  </w:style>
  <w:style w:type="paragraph" w:styleId="Heading8">
    <w:name w:val="heading 8"/>
    <w:basedOn w:val="Normal"/>
    <w:next w:val="Normal"/>
    <w:qFormat/>
    <w:rsid w:val="006F24C3"/>
    <w:pPr>
      <w:keepNext/>
      <w:outlineLvl w:val="7"/>
    </w:pPr>
    <w:rPr>
      <w:b/>
      <w:sz w:val="24"/>
      <w:u w:val="single"/>
    </w:rPr>
  </w:style>
  <w:style w:type="paragraph" w:styleId="Heading9">
    <w:name w:val="heading 9"/>
    <w:basedOn w:val="Normal"/>
    <w:next w:val="Normal"/>
    <w:qFormat/>
    <w:rsid w:val="006F24C3"/>
    <w:pPr>
      <w:keepNext/>
      <w:framePr w:hSpace="180" w:wrap="around" w:vAnchor="text" w:hAnchor="margin" w:xAlign="center" w:y="8"/>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F24C3"/>
    <w:rPr>
      <w:sz w:val="24"/>
    </w:rPr>
  </w:style>
  <w:style w:type="paragraph" w:styleId="Header">
    <w:name w:val="header"/>
    <w:basedOn w:val="Normal"/>
    <w:rsid w:val="006F24C3"/>
    <w:pPr>
      <w:tabs>
        <w:tab w:val="center" w:pos="4320"/>
        <w:tab w:val="right" w:pos="8640"/>
      </w:tabs>
    </w:pPr>
    <w:rPr>
      <w:rFonts w:ascii="Arial" w:hAnsi="Arial"/>
      <w:sz w:val="24"/>
    </w:rPr>
  </w:style>
  <w:style w:type="paragraph" w:styleId="BodyText2">
    <w:name w:val="Body Text 2"/>
    <w:basedOn w:val="Normal"/>
    <w:rsid w:val="006F24C3"/>
    <w:pPr>
      <w:jc w:val="center"/>
    </w:pPr>
    <w:rPr>
      <w:sz w:val="32"/>
    </w:rPr>
  </w:style>
  <w:style w:type="paragraph" w:styleId="BodyText3">
    <w:name w:val="Body Text 3"/>
    <w:basedOn w:val="Normal"/>
    <w:rsid w:val="006F24C3"/>
    <w:pPr>
      <w:jc w:val="both"/>
    </w:pPr>
    <w:rPr>
      <w:sz w:val="24"/>
    </w:rPr>
  </w:style>
  <w:style w:type="paragraph" w:styleId="Footer">
    <w:name w:val="footer"/>
    <w:basedOn w:val="Normal"/>
    <w:link w:val="FooterChar"/>
    <w:uiPriority w:val="99"/>
    <w:rsid w:val="006F24C3"/>
    <w:pPr>
      <w:tabs>
        <w:tab w:val="center" w:pos="4320"/>
        <w:tab w:val="right" w:pos="8640"/>
      </w:tabs>
    </w:pPr>
  </w:style>
  <w:style w:type="paragraph" w:styleId="HTMLPreformatted">
    <w:name w:val="HTML Preformatted"/>
    <w:basedOn w:val="Normal"/>
    <w:rsid w:val="006F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alloonText">
    <w:name w:val="Balloon Text"/>
    <w:basedOn w:val="Normal"/>
    <w:link w:val="BalloonTextChar"/>
    <w:rsid w:val="00125E6B"/>
    <w:rPr>
      <w:rFonts w:ascii="Tahoma" w:hAnsi="Tahoma" w:cs="Tahoma"/>
      <w:sz w:val="16"/>
      <w:szCs w:val="16"/>
    </w:rPr>
  </w:style>
  <w:style w:type="character" w:customStyle="1" w:styleId="BalloonTextChar">
    <w:name w:val="Balloon Text Char"/>
    <w:basedOn w:val="DefaultParagraphFont"/>
    <w:link w:val="BalloonText"/>
    <w:rsid w:val="00125E6B"/>
    <w:rPr>
      <w:rFonts w:ascii="Tahoma" w:hAnsi="Tahoma" w:cs="Tahoma"/>
      <w:sz w:val="16"/>
      <w:szCs w:val="16"/>
    </w:rPr>
  </w:style>
  <w:style w:type="character" w:customStyle="1" w:styleId="FooterChar">
    <w:name w:val="Footer Char"/>
    <w:basedOn w:val="DefaultParagraphFont"/>
    <w:link w:val="Footer"/>
    <w:uiPriority w:val="99"/>
    <w:rsid w:val="002D7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8002">
      <w:bodyDiv w:val="1"/>
      <w:marLeft w:val="0"/>
      <w:marRight w:val="0"/>
      <w:marTop w:val="0"/>
      <w:marBottom w:val="0"/>
      <w:divBdr>
        <w:top w:val="none" w:sz="0" w:space="0" w:color="auto"/>
        <w:left w:val="none" w:sz="0" w:space="0" w:color="auto"/>
        <w:bottom w:val="none" w:sz="0" w:space="0" w:color="auto"/>
        <w:right w:val="none" w:sz="0" w:space="0" w:color="auto"/>
      </w:divBdr>
    </w:div>
    <w:div w:id="20396872">
      <w:bodyDiv w:val="1"/>
      <w:marLeft w:val="0"/>
      <w:marRight w:val="0"/>
      <w:marTop w:val="0"/>
      <w:marBottom w:val="0"/>
      <w:divBdr>
        <w:top w:val="none" w:sz="0" w:space="0" w:color="auto"/>
        <w:left w:val="none" w:sz="0" w:space="0" w:color="auto"/>
        <w:bottom w:val="none" w:sz="0" w:space="0" w:color="auto"/>
        <w:right w:val="none" w:sz="0" w:space="0" w:color="auto"/>
      </w:divBdr>
    </w:div>
    <w:div w:id="35354478">
      <w:bodyDiv w:val="1"/>
      <w:marLeft w:val="0"/>
      <w:marRight w:val="0"/>
      <w:marTop w:val="0"/>
      <w:marBottom w:val="0"/>
      <w:divBdr>
        <w:top w:val="none" w:sz="0" w:space="0" w:color="auto"/>
        <w:left w:val="none" w:sz="0" w:space="0" w:color="auto"/>
        <w:bottom w:val="none" w:sz="0" w:space="0" w:color="auto"/>
        <w:right w:val="none" w:sz="0" w:space="0" w:color="auto"/>
      </w:divBdr>
    </w:div>
    <w:div w:id="149833436">
      <w:bodyDiv w:val="1"/>
      <w:marLeft w:val="0"/>
      <w:marRight w:val="0"/>
      <w:marTop w:val="0"/>
      <w:marBottom w:val="0"/>
      <w:divBdr>
        <w:top w:val="none" w:sz="0" w:space="0" w:color="auto"/>
        <w:left w:val="none" w:sz="0" w:space="0" w:color="auto"/>
        <w:bottom w:val="none" w:sz="0" w:space="0" w:color="auto"/>
        <w:right w:val="none" w:sz="0" w:space="0" w:color="auto"/>
      </w:divBdr>
    </w:div>
    <w:div w:id="266668476">
      <w:bodyDiv w:val="1"/>
      <w:marLeft w:val="0"/>
      <w:marRight w:val="0"/>
      <w:marTop w:val="0"/>
      <w:marBottom w:val="0"/>
      <w:divBdr>
        <w:top w:val="none" w:sz="0" w:space="0" w:color="auto"/>
        <w:left w:val="none" w:sz="0" w:space="0" w:color="auto"/>
        <w:bottom w:val="none" w:sz="0" w:space="0" w:color="auto"/>
        <w:right w:val="none" w:sz="0" w:space="0" w:color="auto"/>
      </w:divBdr>
    </w:div>
    <w:div w:id="371657752">
      <w:bodyDiv w:val="1"/>
      <w:marLeft w:val="0"/>
      <w:marRight w:val="0"/>
      <w:marTop w:val="0"/>
      <w:marBottom w:val="0"/>
      <w:divBdr>
        <w:top w:val="none" w:sz="0" w:space="0" w:color="auto"/>
        <w:left w:val="none" w:sz="0" w:space="0" w:color="auto"/>
        <w:bottom w:val="none" w:sz="0" w:space="0" w:color="auto"/>
        <w:right w:val="none" w:sz="0" w:space="0" w:color="auto"/>
      </w:divBdr>
    </w:div>
    <w:div w:id="403533410">
      <w:bodyDiv w:val="1"/>
      <w:marLeft w:val="0"/>
      <w:marRight w:val="0"/>
      <w:marTop w:val="0"/>
      <w:marBottom w:val="0"/>
      <w:divBdr>
        <w:top w:val="none" w:sz="0" w:space="0" w:color="auto"/>
        <w:left w:val="none" w:sz="0" w:space="0" w:color="auto"/>
        <w:bottom w:val="none" w:sz="0" w:space="0" w:color="auto"/>
        <w:right w:val="none" w:sz="0" w:space="0" w:color="auto"/>
      </w:divBdr>
    </w:div>
    <w:div w:id="418722263">
      <w:bodyDiv w:val="1"/>
      <w:marLeft w:val="0"/>
      <w:marRight w:val="0"/>
      <w:marTop w:val="0"/>
      <w:marBottom w:val="0"/>
      <w:divBdr>
        <w:top w:val="none" w:sz="0" w:space="0" w:color="auto"/>
        <w:left w:val="none" w:sz="0" w:space="0" w:color="auto"/>
        <w:bottom w:val="none" w:sz="0" w:space="0" w:color="auto"/>
        <w:right w:val="none" w:sz="0" w:space="0" w:color="auto"/>
      </w:divBdr>
    </w:div>
    <w:div w:id="436483798">
      <w:bodyDiv w:val="1"/>
      <w:marLeft w:val="0"/>
      <w:marRight w:val="0"/>
      <w:marTop w:val="0"/>
      <w:marBottom w:val="0"/>
      <w:divBdr>
        <w:top w:val="none" w:sz="0" w:space="0" w:color="auto"/>
        <w:left w:val="none" w:sz="0" w:space="0" w:color="auto"/>
        <w:bottom w:val="none" w:sz="0" w:space="0" w:color="auto"/>
        <w:right w:val="none" w:sz="0" w:space="0" w:color="auto"/>
      </w:divBdr>
    </w:div>
    <w:div w:id="437408588">
      <w:bodyDiv w:val="1"/>
      <w:marLeft w:val="0"/>
      <w:marRight w:val="0"/>
      <w:marTop w:val="0"/>
      <w:marBottom w:val="0"/>
      <w:divBdr>
        <w:top w:val="none" w:sz="0" w:space="0" w:color="auto"/>
        <w:left w:val="none" w:sz="0" w:space="0" w:color="auto"/>
        <w:bottom w:val="none" w:sz="0" w:space="0" w:color="auto"/>
        <w:right w:val="none" w:sz="0" w:space="0" w:color="auto"/>
      </w:divBdr>
    </w:div>
    <w:div w:id="449319689">
      <w:bodyDiv w:val="1"/>
      <w:marLeft w:val="0"/>
      <w:marRight w:val="0"/>
      <w:marTop w:val="0"/>
      <w:marBottom w:val="0"/>
      <w:divBdr>
        <w:top w:val="none" w:sz="0" w:space="0" w:color="auto"/>
        <w:left w:val="none" w:sz="0" w:space="0" w:color="auto"/>
        <w:bottom w:val="none" w:sz="0" w:space="0" w:color="auto"/>
        <w:right w:val="none" w:sz="0" w:space="0" w:color="auto"/>
      </w:divBdr>
    </w:div>
    <w:div w:id="518859927">
      <w:bodyDiv w:val="1"/>
      <w:marLeft w:val="0"/>
      <w:marRight w:val="0"/>
      <w:marTop w:val="0"/>
      <w:marBottom w:val="0"/>
      <w:divBdr>
        <w:top w:val="none" w:sz="0" w:space="0" w:color="auto"/>
        <w:left w:val="none" w:sz="0" w:space="0" w:color="auto"/>
        <w:bottom w:val="none" w:sz="0" w:space="0" w:color="auto"/>
        <w:right w:val="none" w:sz="0" w:space="0" w:color="auto"/>
      </w:divBdr>
    </w:div>
    <w:div w:id="564485283">
      <w:bodyDiv w:val="1"/>
      <w:marLeft w:val="0"/>
      <w:marRight w:val="0"/>
      <w:marTop w:val="0"/>
      <w:marBottom w:val="0"/>
      <w:divBdr>
        <w:top w:val="none" w:sz="0" w:space="0" w:color="auto"/>
        <w:left w:val="none" w:sz="0" w:space="0" w:color="auto"/>
        <w:bottom w:val="none" w:sz="0" w:space="0" w:color="auto"/>
        <w:right w:val="none" w:sz="0" w:space="0" w:color="auto"/>
      </w:divBdr>
    </w:div>
    <w:div w:id="618680946">
      <w:bodyDiv w:val="1"/>
      <w:marLeft w:val="0"/>
      <w:marRight w:val="0"/>
      <w:marTop w:val="0"/>
      <w:marBottom w:val="0"/>
      <w:divBdr>
        <w:top w:val="none" w:sz="0" w:space="0" w:color="auto"/>
        <w:left w:val="none" w:sz="0" w:space="0" w:color="auto"/>
        <w:bottom w:val="none" w:sz="0" w:space="0" w:color="auto"/>
        <w:right w:val="none" w:sz="0" w:space="0" w:color="auto"/>
      </w:divBdr>
    </w:div>
    <w:div w:id="740517032">
      <w:bodyDiv w:val="1"/>
      <w:marLeft w:val="0"/>
      <w:marRight w:val="0"/>
      <w:marTop w:val="0"/>
      <w:marBottom w:val="0"/>
      <w:divBdr>
        <w:top w:val="none" w:sz="0" w:space="0" w:color="auto"/>
        <w:left w:val="none" w:sz="0" w:space="0" w:color="auto"/>
        <w:bottom w:val="none" w:sz="0" w:space="0" w:color="auto"/>
        <w:right w:val="none" w:sz="0" w:space="0" w:color="auto"/>
      </w:divBdr>
    </w:div>
    <w:div w:id="848176240">
      <w:bodyDiv w:val="1"/>
      <w:marLeft w:val="0"/>
      <w:marRight w:val="0"/>
      <w:marTop w:val="0"/>
      <w:marBottom w:val="0"/>
      <w:divBdr>
        <w:top w:val="none" w:sz="0" w:space="0" w:color="auto"/>
        <w:left w:val="none" w:sz="0" w:space="0" w:color="auto"/>
        <w:bottom w:val="none" w:sz="0" w:space="0" w:color="auto"/>
        <w:right w:val="none" w:sz="0" w:space="0" w:color="auto"/>
      </w:divBdr>
    </w:div>
    <w:div w:id="910190685">
      <w:bodyDiv w:val="1"/>
      <w:marLeft w:val="0"/>
      <w:marRight w:val="0"/>
      <w:marTop w:val="0"/>
      <w:marBottom w:val="0"/>
      <w:divBdr>
        <w:top w:val="none" w:sz="0" w:space="0" w:color="auto"/>
        <w:left w:val="none" w:sz="0" w:space="0" w:color="auto"/>
        <w:bottom w:val="none" w:sz="0" w:space="0" w:color="auto"/>
        <w:right w:val="none" w:sz="0" w:space="0" w:color="auto"/>
      </w:divBdr>
    </w:div>
    <w:div w:id="960693295">
      <w:bodyDiv w:val="1"/>
      <w:marLeft w:val="0"/>
      <w:marRight w:val="0"/>
      <w:marTop w:val="0"/>
      <w:marBottom w:val="0"/>
      <w:divBdr>
        <w:top w:val="none" w:sz="0" w:space="0" w:color="auto"/>
        <w:left w:val="none" w:sz="0" w:space="0" w:color="auto"/>
        <w:bottom w:val="none" w:sz="0" w:space="0" w:color="auto"/>
        <w:right w:val="none" w:sz="0" w:space="0" w:color="auto"/>
      </w:divBdr>
    </w:div>
    <w:div w:id="1004434012">
      <w:bodyDiv w:val="1"/>
      <w:marLeft w:val="0"/>
      <w:marRight w:val="0"/>
      <w:marTop w:val="0"/>
      <w:marBottom w:val="0"/>
      <w:divBdr>
        <w:top w:val="none" w:sz="0" w:space="0" w:color="auto"/>
        <w:left w:val="none" w:sz="0" w:space="0" w:color="auto"/>
        <w:bottom w:val="none" w:sz="0" w:space="0" w:color="auto"/>
        <w:right w:val="none" w:sz="0" w:space="0" w:color="auto"/>
      </w:divBdr>
    </w:div>
    <w:div w:id="1021395757">
      <w:bodyDiv w:val="1"/>
      <w:marLeft w:val="0"/>
      <w:marRight w:val="0"/>
      <w:marTop w:val="0"/>
      <w:marBottom w:val="0"/>
      <w:divBdr>
        <w:top w:val="none" w:sz="0" w:space="0" w:color="auto"/>
        <w:left w:val="none" w:sz="0" w:space="0" w:color="auto"/>
        <w:bottom w:val="none" w:sz="0" w:space="0" w:color="auto"/>
        <w:right w:val="none" w:sz="0" w:space="0" w:color="auto"/>
      </w:divBdr>
    </w:div>
    <w:div w:id="1079014077">
      <w:bodyDiv w:val="1"/>
      <w:marLeft w:val="0"/>
      <w:marRight w:val="0"/>
      <w:marTop w:val="0"/>
      <w:marBottom w:val="0"/>
      <w:divBdr>
        <w:top w:val="none" w:sz="0" w:space="0" w:color="auto"/>
        <w:left w:val="none" w:sz="0" w:space="0" w:color="auto"/>
        <w:bottom w:val="none" w:sz="0" w:space="0" w:color="auto"/>
        <w:right w:val="none" w:sz="0" w:space="0" w:color="auto"/>
      </w:divBdr>
    </w:div>
    <w:div w:id="1079208657">
      <w:bodyDiv w:val="1"/>
      <w:marLeft w:val="0"/>
      <w:marRight w:val="0"/>
      <w:marTop w:val="0"/>
      <w:marBottom w:val="0"/>
      <w:divBdr>
        <w:top w:val="none" w:sz="0" w:space="0" w:color="auto"/>
        <w:left w:val="none" w:sz="0" w:space="0" w:color="auto"/>
        <w:bottom w:val="none" w:sz="0" w:space="0" w:color="auto"/>
        <w:right w:val="none" w:sz="0" w:space="0" w:color="auto"/>
      </w:divBdr>
    </w:div>
    <w:div w:id="1118455180">
      <w:bodyDiv w:val="1"/>
      <w:marLeft w:val="0"/>
      <w:marRight w:val="0"/>
      <w:marTop w:val="0"/>
      <w:marBottom w:val="0"/>
      <w:divBdr>
        <w:top w:val="none" w:sz="0" w:space="0" w:color="auto"/>
        <w:left w:val="none" w:sz="0" w:space="0" w:color="auto"/>
        <w:bottom w:val="none" w:sz="0" w:space="0" w:color="auto"/>
        <w:right w:val="none" w:sz="0" w:space="0" w:color="auto"/>
      </w:divBdr>
    </w:div>
    <w:div w:id="1124082865">
      <w:bodyDiv w:val="1"/>
      <w:marLeft w:val="0"/>
      <w:marRight w:val="0"/>
      <w:marTop w:val="0"/>
      <w:marBottom w:val="0"/>
      <w:divBdr>
        <w:top w:val="none" w:sz="0" w:space="0" w:color="auto"/>
        <w:left w:val="none" w:sz="0" w:space="0" w:color="auto"/>
        <w:bottom w:val="none" w:sz="0" w:space="0" w:color="auto"/>
        <w:right w:val="none" w:sz="0" w:space="0" w:color="auto"/>
      </w:divBdr>
    </w:div>
    <w:div w:id="1133669426">
      <w:bodyDiv w:val="1"/>
      <w:marLeft w:val="0"/>
      <w:marRight w:val="0"/>
      <w:marTop w:val="0"/>
      <w:marBottom w:val="0"/>
      <w:divBdr>
        <w:top w:val="none" w:sz="0" w:space="0" w:color="auto"/>
        <w:left w:val="none" w:sz="0" w:space="0" w:color="auto"/>
        <w:bottom w:val="none" w:sz="0" w:space="0" w:color="auto"/>
        <w:right w:val="none" w:sz="0" w:space="0" w:color="auto"/>
      </w:divBdr>
    </w:div>
    <w:div w:id="1234462101">
      <w:bodyDiv w:val="1"/>
      <w:marLeft w:val="0"/>
      <w:marRight w:val="0"/>
      <w:marTop w:val="0"/>
      <w:marBottom w:val="0"/>
      <w:divBdr>
        <w:top w:val="none" w:sz="0" w:space="0" w:color="auto"/>
        <w:left w:val="none" w:sz="0" w:space="0" w:color="auto"/>
        <w:bottom w:val="none" w:sz="0" w:space="0" w:color="auto"/>
        <w:right w:val="none" w:sz="0" w:space="0" w:color="auto"/>
      </w:divBdr>
    </w:div>
    <w:div w:id="1242451795">
      <w:bodyDiv w:val="1"/>
      <w:marLeft w:val="0"/>
      <w:marRight w:val="0"/>
      <w:marTop w:val="0"/>
      <w:marBottom w:val="0"/>
      <w:divBdr>
        <w:top w:val="none" w:sz="0" w:space="0" w:color="auto"/>
        <w:left w:val="none" w:sz="0" w:space="0" w:color="auto"/>
        <w:bottom w:val="none" w:sz="0" w:space="0" w:color="auto"/>
        <w:right w:val="none" w:sz="0" w:space="0" w:color="auto"/>
      </w:divBdr>
    </w:div>
    <w:div w:id="1297758629">
      <w:bodyDiv w:val="1"/>
      <w:marLeft w:val="0"/>
      <w:marRight w:val="0"/>
      <w:marTop w:val="0"/>
      <w:marBottom w:val="0"/>
      <w:divBdr>
        <w:top w:val="none" w:sz="0" w:space="0" w:color="auto"/>
        <w:left w:val="none" w:sz="0" w:space="0" w:color="auto"/>
        <w:bottom w:val="none" w:sz="0" w:space="0" w:color="auto"/>
        <w:right w:val="none" w:sz="0" w:space="0" w:color="auto"/>
      </w:divBdr>
    </w:div>
    <w:div w:id="1353530848">
      <w:bodyDiv w:val="1"/>
      <w:marLeft w:val="0"/>
      <w:marRight w:val="0"/>
      <w:marTop w:val="0"/>
      <w:marBottom w:val="0"/>
      <w:divBdr>
        <w:top w:val="none" w:sz="0" w:space="0" w:color="auto"/>
        <w:left w:val="none" w:sz="0" w:space="0" w:color="auto"/>
        <w:bottom w:val="none" w:sz="0" w:space="0" w:color="auto"/>
        <w:right w:val="none" w:sz="0" w:space="0" w:color="auto"/>
      </w:divBdr>
    </w:div>
    <w:div w:id="1366058208">
      <w:bodyDiv w:val="1"/>
      <w:marLeft w:val="0"/>
      <w:marRight w:val="0"/>
      <w:marTop w:val="0"/>
      <w:marBottom w:val="0"/>
      <w:divBdr>
        <w:top w:val="none" w:sz="0" w:space="0" w:color="auto"/>
        <w:left w:val="none" w:sz="0" w:space="0" w:color="auto"/>
        <w:bottom w:val="none" w:sz="0" w:space="0" w:color="auto"/>
        <w:right w:val="none" w:sz="0" w:space="0" w:color="auto"/>
      </w:divBdr>
    </w:div>
    <w:div w:id="1372461068">
      <w:bodyDiv w:val="1"/>
      <w:marLeft w:val="0"/>
      <w:marRight w:val="0"/>
      <w:marTop w:val="0"/>
      <w:marBottom w:val="0"/>
      <w:divBdr>
        <w:top w:val="none" w:sz="0" w:space="0" w:color="auto"/>
        <w:left w:val="none" w:sz="0" w:space="0" w:color="auto"/>
        <w:bottom w:val="none" w:sz="0" w:space="0" w:color="auto"/>
        <w:right w:val="none" w:sz="0" w:space="0" w:color="auto"/>
      </w:divBdr>
    </w:div>
    <w:div w:id="1389261579">
      <w:bodyDiv w:val="1"/>
      <w:marLeft w:val="0"/>
      <w:marRight w:val="0"/>
      <w:marTop w:val="0"/>
      <w:marBottom w:val="0"/>
      <w:divBdr>
        <w:top w:val="none" w:sz="0" w:space="0" w:color="auto"/>
        <w:left w:val="none" w:sz="0" w:space="0" w:color="auto"/>
        <w:bottom w:val="none" w:sz="0" w:space="0" w:color="auto"/>
        <w:right w:val="none" w:sz="0" w:space="0" w:color="auto"/>
      </w:divBdr>
    </w:div>
    <w:div w:id="1443527853">
      <w:bodyDiv w:val="1"/>
      <w:marLeft w:val="0"/>
      <w:marRight w:val="0"/>
      <w:marTop w:val="0"/>
      <w:marBottom w:val="0"/>
      <w:divBdr>
        <w:top w:val="none" w:sz="0" w:space="0" w:color="auto"/>
        <w:left w:val="none" w:sz="0" w:space="0" w:color="auto"/>
        <w:bottom w:val="none" w:sz="0" w:space="0" w:color="auto"/>
        <w:right w:val="none" w:sz="0" w:space="0" w:color="auto"/>
      </w:divBdr>
    </w:div>
    <w:div w:id="1474520189">
      <w:bodyDiv w:val="1"/>
      <w:marLeft w:val="0"/>
      <w:marRight w:val="0"/>
      <w:marTop w:val="0"/>
      <w:marBottom w:val="0"/>
      <w:divBdr>
        <w:top w:val="none" w:sz="0" w:space="0" w:color="auto"/>
        <w:left w:val="none" w:sz="0" w:space="0" w:color="auto"/>
        <w:bottom w:val="none" w:sz="0" w:space="0" w:color="auto"/>
        <w:right w:val="none" w:sz="0" w:space="0" w:color="auto"/>
      </w:divBdr>
    </w:div>
    <w:div w:id="1476796917">
      <w:bodyDiv w:val="1"/>
      <w:marLeft w:val="0"/>
      <w:marRight w:val="0"/>
      <w:marTop w:val="0"/>
      <w:marBottom w:val="0"/>
      <w:divBdr>
        <w:top w:val="none" w:sz="0" w:space="0" w:color="auto"/>
        <w:left w:val="none" w:sz="0" w:space="0" w:color="auto"/>
        <w:bottom w:val="none" w:sz="0" w:space="0" w:color="auto"/>
        <w:right w:val="none" w:sz="0" w:space="0" w:color="auto"/>
      </w:divBdr>
    </w:div>
    <w:div w:id="1595818584">
      <w:bodyDiv w:val="1"/>
      <w:marLeft w:val="0"/>
      <w:marRight w:val="0"/>
      <w:marTop w:val="0"/>
      <w:marBottom w:val="0"/>
      <w:divBdr>
        <w:top w:val="none" w:sz="0" w:space="0" w:color="auto"/>
        <w:left w:val="none" w:sz="0" w:space="0" w:color="auto"/>
        <w:bottom w:val="none" w:sz="0" w:space="0" w:color="auto"/>
        <w:right w:val="none" w:sz="0" w:space="0" w:color="auto"/>
      </w:divBdr>
    </w:div>
    <w:div w:id="1669213561">
      <w:bodyDiv w:val="1"/>
      <w:marLeft w:val="0"/>
      <w:marRight w:val="0"/>
      <w:marTop w:val="0"/>
      <w:marBottom w:val="0"/>
      <w:divBdr>
        <w:top w:val="none" w:sz="0" w:space="0" w:color="auto"/>
        <w:left w:val="none" w:sz="0" w:space="0" w:color="auto"/>
        <w:bottom w:val="none" w:sz="0" w:space="0" w:color="auto"/>
        <w:right w:val="none" w:sz="0" w:space="0" w:color="auto"/>
      </w:divBdr>
    </w:div>
    <w:div w:id="1758750605">
      <w:bodyDiv w:val="1"/>
      <w:marLeft w:val="0"/>
      <w:marRight w:val="0"/>
      <w:marTop w:val="0"/>
      <w:marBottom w:val="0"/>
      <w:divBdr>
        <w:top w:val="none" w:sz="0" w:space="0" w:color="auto"/>
        <w:left w:val="none" w:sz="0" w:space="0" w:color="auto"/>
        <w:bottom w:val="none" w:sz="0" w:space="0" w:color="auto"/>
        <w:right w:val="none" w:sz="0" w:space="0" w:color="auto"/>
      </w:divBdr>
    </w:div>
    <w:div w:id="1769305037">
      <w:bodyDiv w:val="1"/>
      <w:marLeft w:val="0"/>
      <w:marRight w:val="0"/>
      <w:marTop w:val="0"/>
      <w:marBottom w:val="0"/>
      <w:divBdr>
        <w:top w:val="none" w:sz="0" w:space="0" w:color="auto"/>
        <w:left w:val="none" w:sz="0" w:space="0" w:color="auto"/>
        <w:bottom w:val="none" w:sz="0" w:space="0" w:color="auto"/>
        <w:right w:val="none" w:sz="0" w:space="0" w:color="auto"/>
      </w:divBdr>
    </w:div>
    <w:div w:id="1804152100">
      <w:bodyDiv w:val="1"/>
      <w:marLeft w:val="0"/>
      <w:marRight w:val="0"/>
      <w:marTop w:val="0"/>
      <w:marBottom w:val="0"/>
      <w:divBdr>
        <w:top w:val="none" w:sz="0" w:space="0" w:color="auto"/>
        <w:left w:val="none" w:sz="0" w:space="0" w:color="auto"/>
        <w:bottom w:val="none" w:sz="0" w:space="0" w:color="auto"/>
        <w:right w:val="none" w:sz="0" w:space="0" w:color="auto"/>
      </w:divBdr>
    </w:div>
    <w:div w:id="1883709397">
      <w:bodyDiv w:val="1"/>
      <w:marLeft w:val="0"/>
      <w:marRight w:val="0"/>
      <w:marTop w:val="0"/>
      <w:marBottom w:val="0"/>
      <w:divBdr>
        <w:top w:val="none" w:sz="0" w:space="0" w:color="auto"/>
        <w:left w:val="none" w:sz="0" w:space="0" w:color="auto"/>
        <w:bottom w:val="none" w:sz="0" w:space="0" w:color="auto"/>
        <w:right w:val="none" w:sz="0" w:space="0" w:color="auto"/>
      </w:divBdr>
    </w:div>
    <w:div w:id="1894657754">
      <w:bodyDiv w:val="1"/>
      <w:marLeft w:val="0"/>
      <w:marRight w:val="0"/>
      <w:marTop w:val="0"/>
      <w:marBottom w:val="0"/>
      <w:divBdr>
        <w:top w:val="none" w:sz="0" w:space="0" w:color="auto"/>
        <w:left w:val="none" w:sz="0" w:space="0" w:color="auto"/>
        <w:bottom w:val="none" w:sz="0" w:space="0" w:color="auto"/>
        <w:right w:val="none" w:sz="0" w:space="0" w:color="auto"/>
      </w:divBdr>
    </w:div>
    <w:div w:id="1928224816">
      <w:bodyDiv w:val="1"/>
      <w:marLeft w:val="0"/>
      <w:marRight w:val="0"/>
      <w:marTop w:val="0"/>
      <w:marBottom w:val="0"/>
      <w:divBdr>
        <w:top w:val="none" w:sz="0" w:space="0" w:color="auto"/>
        <w:left w:val="none" w:sz="0" w:space="0" w:color="auto"/>
        <w:bottom w:val="none" w:sz="0" w:space="0" w:color="auto"/>
        <w:right w:val="none" w:sz="0" w:space="0" w:color="auto"/>
      </w:divBdr>
    </w:div>
    <w:div w:id="1933123642">
      <w:bodyDiv w:val="1"/>
      <w:marLeft w:val="0"/>
      <w:marRight w:val="0"/>
      <w:marTop w:val="0"/>
      <w:marBottom w:val="0"/>
      <w:divBdr>
        <w:top w:val="none" w:sz="0" w:space="0" w:color="auto"/>
        <w:left w:val="none" w:sz="0" w:space="0" w:color="auto"/>
        <w:bottom w:val="none" w:sz="0" w:space="0" w:color="auto"/>
        <w:right w:val="none" w:sz="0" w:space="0" w:color="auto"/>
      </w:divBdr>
    </w:div>
    <w:div w:id="1945307922">
      <w:bodyDiv w:val="1"/>
      <w:marLeft w:val="0"/>
      <w:marRight w:val="0"/>
      <w:marTop w:val="0"/>
      <w:marBottom w:val="0"/>
      <w:divBdr>
        <w:top w:val="none" w:sz="0" w:space="0" w:color="auto"/>
        <w:left w:val="none" w:sz="0" w:space="0" w:color="auto"/>
        <w:bottom w:val="none" w:sz="0" w:space="0" w:color="auto"/>
        <w:right w:val="none" w:sz="0" w:space="0" w:color="auto"/>
      </w:divBdr>
    </w:div>
    <w:div w:id="1948190755">
      <w:bodyDiv w:val="1"/>
      <w:marLeft w:val="0"/>
      <w:marRight w:val="0"/>
      <w:marTop w:val="0"/>
      <w:marBottom w:val="0"/>
      <w:divBdr>
        <w:top w:val="none" w:sz="0" w:space="0" w:color="auto"/>
        <w:left w:val="none" w:sz="0" w:space="0" w:color="auto"/>
        <w:bottom w:val="none" w:sz="0" w:space="0" w:color="auto"/>
        <w:right w:val="none" w:sz="0" w:space="0" w:color="auto"/>
      </w:divBdr>
    </w:div>
    <w:div w:id="1973823182">
      <w:bodyDiv w:val="1"/>
      <w:marLeft w:val="0"/>
      <w:marRight w:val="0"/>
      <w:marTop w:val="0"/>
      <w:marBottom w:val="0"/>
      <w:divBdr>
        <w:top w:val="none" w:sz="0" w:space="0" w:color="auto"/>
        <w:left w:val="none" w:sz="0" w:space="0" w:color="auto"/>
        <w:bottom w:val="none" w:sz="0" w:space="0" w:color="auto"/>
        <w:right w:val="none" w:sz="0" w:space="0" w:color="auto"/>
      </w:divBdr>
    </w:div>
    <w:div w:id="2008631467">
      <w:bodyDiv w:val="1"/>
      <w:marLeft w:val="0"/>
      <w:marRight w:val="0"/>
      <w:marTop w:val="0"/>
      <w:marBottom w:val="0"/>
      <w:divBdr>
        <w:top w:val="none" w:sz="0" w:space="0" w:color="auto"/>
        <w:left w:val="none" w:sz="0" w:space="0" w:color="auto"/>
        <w:bottom w:val="none" w:sz="0" w:space="0" w:color="auto"/>
        <w:right w:val="none" w:sz="0" w:space="0" w:color="auto"/>
      </w:divBdr>
    </w:div>
    <w:div w:id="2051958391">
      <w:bodyDiv w:val="1"/>
      <w:marLeft w:val="0"/>
      <w:marRight w:val="0"/>
      <w:marTop w:val="0"/>
      <w:marBottom w:val="0"/>
      <w:divBdr>
        <w:top w:val="none" w:sz="0" w:space="0" w:color="auto"/>
        <w:left w:val="none" w:sz="0" w:space="0" w:color="auto"/>
        <w:bottom w:val="none" w:sz="0" w:space="0" w:color="auto"/>
        <w:right w:val="none" w:sz="0" w:space="0" w:color="auto"/>
      </w:divBdr>
    </w:div>
    <w:div w:id="206683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A39D9-7B4E-4280-95C1-895A2E73925A}">
  <ds:schemaRefs>
    <ds:schemaRef ds:uri="http://schemas.microsoft.com/sharepoint/v3/contenttype/forms"/>
  </ds:schemaRefs>
</ds:datastoreItem>
</file>

<file path=customXml/itemProps2.xml><?xml version="1.0" encoding="utf-8"?>
<ds:datastoreItem xmlns:ds="http://schemas.openxmlformats.org/officeDocument/2006/customXml" ds:itemID="{EAF1055B-AF34-4248-9F01-381E30FC7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6B09A5-AB97-492B-B4C0-FBA22A109AB9}">
  <ds:schemaRef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69F03442-AE8C-46A7-B9C2-68EB8522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1793</Words>
  <Characters>9599</Characters>
  <Application>Microsoft Office Word</Application>
  <DocSecurity>0</DocSecurity>
  <Lines>213</Lines>
  <Paragraphs>85</Paragraphs>
  <ScaleCrop>false</ScaleCrop>
  <HeadingPairs>
    <vt:vector size="2" baseType="variant">
      <vt:variant>
        <vt:lpstr>Title</vt:lpstr>
      </vt:variant>
      <vt:variant>
        <vt:i4>1</vt:i4>
      </vt:variant>
    </vt:vector>
  </HeadingPairs>
  <TitlesOfParts>
    <vt:vector size="1" baseType="lpstr">
      <vt:lpstr>Report to the Illinois General Assembly:</vt:lpstr>
    </vt:vector>
  </TitlesOfParts>
  <Company>State of Illinois</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Illinois General Assembly:</dc:title>
  <dc:creator>curtis</dc:creator>
  <cp:lastModifiedBy>Kim, Addrena</cp:lastModifiedBy>
  <cp:revision>3</cp:revision>
  <cp:lastPrinted>2015-05-27T14:45:00Z</cp:lastPrinted>
  <dcterms:created xsi:type="dcterms:W3CDTF">2020-06-02T14:37:00Z</dcterms:created>
  <dcterms:modified xsi:type="dcterms:W3CDTF">2020-06-02T14:38:00Z</dcterms:modified>
</cp:coreProperties>
</file>