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42" w:rsidRDefault="00D32E42" w:rsidP="00D32E42">
      <w:pPr>
        <w:widowControl w:val="0"/>
        <w:autoSpaceDE w:val="0"/>
        <w:autoSpaceDN w:val="0"/>
        <w:adjustRightInd w:val="0"/>
      </w:pPr>
      <w:bookmarkStart w:id="0" w:name="_GoBack"/>
      <w:bookmarkEnd w:id="0"/>
    </w:p>
    <w:p w:rsidR="00D32E42" w:rsidRDefault="00D32E42" w:rsidP="00D32E42">
      <w:pPr>
        <w:widowControl w:val="0"/>
        <w:autoSpaceDE w:val="0"/>
        <w:autoSpaceDN w:val="0"/>
        <w:adjustRightInd w:val="0"/>
      </w:pPr>
      <w:r>
        <w:rPr>
          <w:b/>
          <w:bCs/>
        </w:rPr>
        <w:t>Section 1301.60  License Restrictions</w:t>
      </w:r>
      <w:r>
        <w:t xml:space="preserve"> </w:t>
      </w:r>
    </w:p>
    <w:p w:rsidR="00D32E42" w:rsidRDefault="00D32E42" w:rsidP="00D32E42">
      <w:pPr>
        <w:widowControl w:val="0"/>
        <w:autoSpaceDE w:val="0"/>
        <w:autoSpaceDN w:val="0"/>
        <w:adjustRightInd w:val="0"/>
      </w:pPr>
    </w:p>
    <w:p w:rsidR="00D32E42" w:rsidRDefault="00D32E42" w:rsidP="00D32E42">
      <w:pPr>
        <w:widowControl w:val="0"/>
        <w:autoSpaceDE w:val="0"/>
        <w:autoSpaceDN w:val="0"/>
        <w:adjustRightInd w:val="0"/>
      </w:pPr>
      <w:r>
        <w:t xml:space="preserve">In determining whether to restrict the scope of a motor carrier of property license, the Commission shall consider: </w:t>
      </w:r>
    </w:p>
    <w:p w:rsidR="00AA3D25" w:rsidRDefault="00AA3D25" w:rsidP="00D32E42">
      <w:pPr>
        <w:widowControl w:val="0"/>
        <w:autoSpaceDE w:val="0"/>
        <w:autoSpaceDN w:val="0"/>
        <w:adjustRightInd w:val="0"/>
      </w:pPr>
    </w:p>
    <w:p w:rsidR="00D32E42" w:rsidRDefault="00D32E42" w:rsidP="00D32E42">
      <w:pPr>
        <w:widowControl w:val="0"/>
        <w:autoSpaceDE w:val="0"/>
        <w:autoSpaceDN w:val="0"/>
        <w:adjustRightInd w:val="0"/>
        <w:ind w:left="1440" w:hanging="720"/>
      </w:pPr>
      <w:r>
        <w:t>a)</w:t>
      </w:r>
      <w:r>
        <w:tab/>
        <w:t xml:space="preserve">Whether the restriction was requested by the applicant or agreed to between the parties; </w:t>
      </w:r>
    </w:p>
    <w:p w:rsidR="00AA3D25" w:rsidRDefault="00AA3D25" w:rsidP="00D32E42">
      <w:pPr>
        <w:widowControl w:val="0"/>
        <w:autoSpaceDE w:val="0"/>
        <w:autoSpaceDN w:val="0"/>
        <w:adjustRightInd w:val="0"/>
        <w:ind w:left="1440" w:hanging="720"/>
      </w:pPr>
    </w:p>
    <w:p w:rsidR="00D32E42" w:rsidRDefault="00D32E42" w:rsidP="00D32E42">
      <w:pPr>
        <w:widowControl w:val="0"/>
        <w:autoSpaceDE w:val="0"/>
        <w:autoSpaceDN w:val="0"/>
        <w:adjustRightInd w:val="0"/>
        <w:ind w:left="1440" w:hanging="720"/>
      </w:pPr>
      <w:r>
        <w:t>b)</w:t>
      </w:r>
      <w:r>
        <w:tab/>
        <w:t xml:space="preserve">Whether notice of the license application was given (If the application exceeds the scope of the notice given, any license granted shall be restricted to the scope of the notice); and </w:t>
      </w:r>
    </w:p>
    <w:p w:rsidR="00AA3D25" w:rsidRDefault="00AA3D25" w:rsidP="00D32E42">
      <w:pPr>
        <w:widowControl w:val="0"/>
        <w:autoSpaceDE w:val="0"/>
        <w:autoSpaceDN w:val="0"/>
        <w:adjustRightInd w:val="0"/>
        <w:ind w:left="1440" w:hanging="720"/>
      </w:pPr>
    </w:p>
    <w:p w:rsidR="00D32E42" w:rsidRDefault="00D32E42" w:rsidP="00D32E42">
      <w:pPr>
        <w:widowControl w:val="0"/>
        <w:autoSpaceDE w:val="0"/>
        <w:autoSpaceDN w:val="0"/>
        <w:adjustRightInd w:val="0"/>
        <w:ind w:left="1440" w:hanging="720"/>
      </w:pPr>
      <w:r>
        <w:t>c)</w:t>
      </w:r>
      <w:r>
        <w:tab/>
        <w:t xml:space="preserve">Whether the application proposes service not supported by the evidence in the proceeding (If the application is not supported by the evidence, the license shall be restricted to commodities, territory, and service which is supported by the evidence). </w:t>
      </w:r>
    </w:p>
    <w:sectPr w:rsidR="00D32E42" w:rsidSect="00D32E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E42"/>
    <w:rsid w:val="004E620A"/>
    <w:rsid w:val="00642D4D"/>
    <w:rsid w:val="00682726"/>
    <w:rsid w:val="00AA3D25"/>
    <w:rsid w:val="00D32E42"/>
    <w:rsid w:val="00ED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