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B6" w:rsidRDefault="008B6FB6" w:rsidP="008B6FB6">
      <w:pPr>
        <w:widowControl w:val="0"/>
        <w:autoSpaceDE w:val="0"/>
        <w:autoSpaceDN w:val="0"/>
        <w:adjustRightInd w:val="0"/>
      </w:pPr>
      <w:bookmarkStart w:id="0" w:name="_GoBack"/>
      <w:bookmarkEnd w:id="0"/>
    </w:p>
    <w:p w:rsidR="008B6FB6" w:rsidRDefault="008B6FB6" w:rsidP="008B6FB6">
      <w:pPr>
        <w:widowControl w:val="0"/>
        <w:autoSpaceDE w:val="0"/>
        <w:autoSpaceDN w:val="0"/>
        <w:adjustRightInd w:val="0"/>
      </w:pPr>
      <w:r>
        <w:rPr>
          <w:b/>
          <w:bCs/>
        </w:rPr>
        <w:t>Section 1010.250  Applications For Reassignment</w:t>
      </w:r>
      <w:r>
        <w:t xml:space="preserve"> </w:t>
      </w:r>
    </w:p>
    <w:p w:rsidR="008B6FB6" w:rsidRDefault="008B6FB6" w:rsidP="008B6FB6">
      <w:pPr>
        <w:widowControl w:val="0"/>
        <w:autoSpaceDE w:val="0"/>
        <w:autoSpaceDN w:val="0"/>
        <w:adjustRightInd w:val="0"/>
      </w:pPr>
    </w:p>
    <w:p w:rsidR="008B6FB6" w:rsidRDefault="008B6FB6" w:rsidP="008B6FB6">
      <w:pPr>
        <w:widowControl w:val="0"/>
        <w:autoSpaceDE w:val="0"/>
        <w:autoSpaceDN w:val="0"/>
        <w:adjustRightInd w:val="0"/>
      </w:pPr>
      <w:r>
        <w:t xml:space="preserve">Every application for reassignment of a license number shall be accompanied by an application for renewal of the vehicle registration to which it pertains, together with payment of the registration fee and tax for such vehicle, as provided by law.  If such application for renewal of registration is not in proper form o if the appropriate fee and tax is not paid therewith, the Secretary of State shall notify the applicant thereof, and unless the form is corrected or the fee and tax paid within 15 days after such notification, the Secretary of State need not honor the reassignment application. </w:t>
      </w:r>
    </w:p>
    <w:sectPr w:rsidR="008B6FB6" w:rsidSect="008B6F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FB6"/>
    <w:rsid w:val="004F5C31"/>
    <w:rsid w:val="006514E0"/>
    <w:rsid w:val="00874555"/>
    <w:rsid w:val="008B6FB6"/>
    <w:rsid w:val="009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