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C8" w:rsidRDefault="007067C8" w:rsidP="007067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7C8" w:rsidRDefault="007067C8" w:rsidP="007067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404.41  Community Life</w:t>
      </w:r>
      <w:r>
        <w:t xml:space="preserve"> </w:t>
      </w:r>
    </w:p>
    <w:p w:rsidR="007067C8" w:rsidRDefault="007067C8" w:rsidP="007067C8">
      <w:pPr>
        <w:widowControl w:val="0"/>
        <w:autoSpaceDE w:val="0"/>
        <w:autoSpaceDN w:val="0"/>
        <w:adjustRightInd w:val="0"/>
      </w:pPr>
    </w:p>
    <w:p w:rsidR="007067C8" w:rsidRDefault="007067C8" w:rsidP="007067C8">
      <w:pPr>
        <w:widowControl w:val="0"/>
        <w:autoSpaceDE w:val="0"/>
        <w:autoSpaceDN w:val="0"/>
        <w:adjustRightInd w:val="0"/>
      </w:pPr>
      <w:r>
        <w:t xml:space="preserve">The institution shall encourage and provide opportunities for children, individually and in groups, to participate in available community services, facilities and programs. </w:t>
      </w:r>
    </w:p>
    <w:sectPr w:rsidR="007067C8" w:rsidSect="00706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7C8"/>
    <w:rsid w:val="00093D28"/>
    <w:rsid w:val="005C3366"/>
    <w:rsid w:val="007067C8"/>
    <w:rsid w:val="007734CD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