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7B" w:rsidRDefault="00536F7B" w:rsidP="00536F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6F7B" w:rsidRDefault="00536F7B" w:rsidP="00536F7B">
      <w:pPr>
        <w:widowControl w:val="0"/>
        <w:autoSpaceDE w:val="0"/>
        <w:autoSpaceDN w:val="0"/>
        <w:adjustRightInd w:val="0"/>
      </w:pPr>
      <w:r>
        <w:t xml:space="preserve">AUTHORITY:  Implementing and authorized by Sections 4 and 9.1 through 9.9 of the Children and Family Services Act [20 ILCS 505/4 and 9.1 through 9.9] and Section 6-9 of the Juvenile Court Act of 1987 [705 ILCS 405/6-9]. </w:t>
      </w:r>
    </w:p>
    <w:sectPr w:rsidR="00536F7B" w:rsidSect="00536F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F7B"/>
    <w:rsid w:val="002E17EB"/>
    <w:rsid w:val="004D2FDB"/>
    <w:rsid w:val="00536F7B"/>
    <w:rsid w:val="005C3366"/>
    <w:rsid w:val="00B7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4 and 9</vt:lpstr>
    </vt:vector>
  </TitlesOfParts>
  <Company>State of Illinois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4 and 9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