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32" w:rsidRDefault="003A2632" w:rsidP="003A2632">
      <w:pPr>
        <w:rPr>
          <w:b/>
          <w:sz w:val="24"/>
        </w:rPr>
      </w:pPr>
    </w:p>
    <w:p w:rsidR="003A2632" w:rsidRPr="003A2632" w:rsidRDefault="003A2632" w:rsidP="003A2632">
      <w:pPr>
        <w:rPr>
          <w:b/>
          <w:sz w:val="24"/>
        </w:rPr>
      </w:pPr>
      <w:r w:rsidRPr="003A2632">
        <w:rPr>
          <w:b/>
          <w:sz w:val="24"/>
        </w:rPr>
        <w:t xml:space="preserve">Section 148.850   Medication Management </w:t>
      </w:r>
    </w:p>
    <w:p w:rsidR="003A2632" w:rsidRPr="003A2632" w:rsidRDefault="003A2632" w:rsidP="003A2632">
      <w:pPr>
        <w:rPr>
          <w:sz w:val="24"/>
        </w:rPr>
      </w:pPr>
    </w:p>
    <w:p w:rsidR="003A2632" w:rsidRPr="003A2632" w:rsidRDefault="003A2632" w:rsidP="003A2632">
      <w:pPr>
        <w:rPr>
          <w:sz w:val="24"/>
        </w:rPr>
      </w:pPr>
      <w:r w:rsidRPr="003A2632">
        <w:rPr>
          <w:sz w:val="24"/>
        </w:rPr>
        <w:t xml:space="preserve">On the day of discharge from an inpatient admission, the Community Connect </w:t>
      </w:r>
      <w:r w:rsidR="00522C26">
        <w:rPr>
          <w:sz w:val="24"/>
        </w:rPr>
        <w:t xml:space="preserve">TCM </w:t>
      </w:r>
      <w:r w:rsidRPr="003A2632">
        <w:rPr>
          <w:sz w:val="24"/>
        </w:rPr>
        <w:t>agency will ensure the individual accesses a 30-day supply of medically necessary medication to ensure continuity of this aspect of treatment and medication adherence.</w:t>
      </w:r>
    </w:p>
    <w:p w:rsidR="000174EB" w:rsidRDefault="000174EB" w:rsidP="00DC7214">
      <w:pPr>
        <w:rPr>
          <w:sz w:val="24"/>
        </w:rPr>
      </w:pPr>
    </w:p>
    <w:p w:rsidR="00287759" w:rsidRPr="00287759" w:rsidRDefault="00287759">
      <w:pPr>
        <w:pStyle w:val="JCARSourceNote"/>
        <w:ind w:left="720"/>
        <w:rPr>
          <w:sz w:val="24"/>
        </w:rPr>
      </w:pPr>
      <w:r w:rsidRPr="00287759">
        <w:rPr>
          <w:sz w:val="24"/>
        </w:rPr>
        <w:t>(Source:  Added at 3</w:t>
      </w:r>
      <w:r w:rsidR="00197DBF">
        <w:rPr>
          <w:sz w:val="24"/>
        </w:rPr>
        <w:t>7</w:t>
      </w:r>
      <w:r w:rsidRPr="00287759">
        <w:rPr>
          <w:sz w:val="24"/>
        </w:rPr>
        <w:t xml:space="preserve"> Ill. Reg. </w:t>
      </w:r>
      <w:r w:rsidR="00C74CBE">
        <w:rPr>
          <w:sz w:val="24"/>
        </w:rPr>
        <w:t>402</w:t>
      </w:r>
      <w:r w:rsidRPr="00287759">
        <w:rPr>
          <w:sz w:val="24"/>
        </w:rPr>
        <w:t xml:space="preserve">, effective </w:t>
      </w:r>
      <w:bookmarkStart w:id="0" w:name="_GoBack"/>
      <w:r w:rsidR="00C74CBE">
        <w:rPr>
          <w:sz w:val="24"/>
        </w:rPr>
        <w:t>December 27, 2012</w:t>
      </w:r>
      <w:bookmarkEnd w:id="0"/>
      <w:r w:rsidRPr="00287759">
        <w:rPr>
          <w:sz w:val="24"/>
        </w:rPr>
        <w:t>)</w:t>
      </w:r>
    </w:p>
    <w:sectPr w:rsidR="00287759" w:rsidRPr="0028775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D9" w:rsidRDefault="000F45D9">
      <w:r>
        <w:separator/>
      </w:r>
    </w:p>
  </w:endnote>
  <w:endnote w:type="continuationSeparator" w:id="0">
    <w:p w:rsidR="000F45D9" w:rsidRDefault="000F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D9" w:rsidRDefault="000F45D9">
      <w:r>
        <w:separator/>
      </w:r>
    </w:p>
  </w:footnote>
  <w:footnote w:type="continuationSeparator" w:id="0">
    <w:p w:rsidR="000F45D9" w:rsidRDefault="000F4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D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5D9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7DBF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7AF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759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632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C26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4CBE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759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759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Sabo, Cheryl E.</cp:lastModifiedBy>
  <cp:revision>3</cp:revision>
  <dcterms:created xsi:type="dcterms:W3CDTF">2013-01-03T22:00:00Z</dcterms:created>
  <dcterms:modified xsi:type="dcterms:W3CDTF">2013-01-04T19:48:00Z</dcterms:modified>
</cp:coreProperties>
</file>