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60" w:rsidRDefault="002D1860" w:rsidP="00B72B55">
      <w:pPr>
        <w:widowControl w:val="0"/>
        <w:autoSpaceDE w:val="0"/>
        <w:autoSpaceDN w:val="0"/>
        <w:adjustRightInd w:val="0"/>
      </w:pPr>
      <w:bookmarkStart w:id="0" w:name="_GoBack"/>
      <w:bookmarkEnd w:id="0"/>
    </w:p>
    <w:p w:rsidR="002D1860" w:rsidRDefault="002D1860" w:rsidP="00B72B55">
      <w:pPr>
        <w:widowControl w:val="0"/>
        <w:autoSpaceDE w:val="0"/>
        <w:autoSpaceDN w:val="0"/>
        <w:adjustRightInd w:val="0"/>
      </w:pPr>
      <w:r>
        <w:rPr>
          <w:b/>
          <w:bCs/>
        </w:rPr>
        <w:t>Section 140.540  Costs Associated With Nursing Home Care Reform Act and Implementing Regulations</w:t>
      </w:r>
      <w:r>
        <w:t xml:space="preserve"> </w:t>
      </w:r>
    </w:p>
    <w:p w:rsidR="002D1860" w:rsidRDefault="002D1860" w:rsidP="00B72B55">
      <w:pPr>
        <w:widowControl w:val="0"/>
        <w:autoSpaceDE w:val="0"/>
        <w:autoSpaceDN w:val="0"/>
        <w:adjustRightInd w:val="0"/>
      </w:pPr>
    </w:p>
    <w:p w:rsidR="002D1860" w:rsidRDefault="002D1860" w:rsidP="00B72B55">
      <w:pPr>
        <w:widowControl w:val="0"/>
        <w:autoSpaceDE w:val="0"/>
        <w:autoSpaceDN w:val="0"/>
        <w:adjustRightInd w:val="0"/>
        <w:ind w:left="1440" w:hanging="720"/>
      </w:pPr>
      <w:r>
        <w:t>a)</w:t>
      </w:r>
      <w:r>
        <w:tab/>
        <w:t>Facilities shall be reimbursed for reasonable expenses necessarily incurred to comply with regulations promulgated by the Department of Public Health pursuant to the Nursing Home Care Reform Act of 1979</w:t>
      </w:r>
      <w:r w:rsidR="009A016A">
        <w:t xml:space="preserve"> (Ill. Rev. Stat. 1981, </w:t>
      </w:r>
      <w:proofErr w:type="spellStart"/>
      <w:r w:rsidR="009A016A">
        <w:t>ch.</w:t>
      </w:r>
      <w:proofErr w:type="spellEnd"/>
      <w:r w:rsidR="009A016A">
        <w:t xml:space="preserve"> 111½</w:t>
      </w:r>
      <w:r>
        <w:t xml:space="preserve">, pars. 4151-101 et seq.)  The estimates per patient, per day are as follows: </w:t>
      </w:r>
    </w:p>
    <w:p w:rsidR="009A016A" w:rsidRDefault="009A016A" w:rsidP="00B72B55">
      <w:pPr>
        <w:widowControl w:val="0"/>
        <w:autoSpaceDE w:val="0"/>
        <w:autoSpaceDN w:val="0"/>
        <w:adjustRightInd w:val="0"/>
        <w:ind w:left="1440" w:hanging="720"/>
      </w:pPr>
    </w:p>
    <w:p w:rsidR="002D1860" w:rsidRDefault="009A016A" w:rsidP="009A016A">
      <w:pPr>
        <w:widowControl w:val="0"/>
        <w:tabs>
          <w:tab w:val="left" w:pos="7638"/>
        </w:tabs>
        <w:autoSpaceDE w:val="0"/>
        <w:autoSpaceDN w:val="0"/>
        <w:adjustRightInd w:val="0"/>
        <w:ind w:left="2166" w:hanging="726"/>
      </w:pPr>
      <w:r>
        <w:t>1)</w:t>
      </w:r>
      <w:r>
        <w:tab/>
      </w:r>
      <w:r w:rsidR="002D1860">
        <w:t>License</w:t>
      </w:r>
      <w:r>
        <w:t xml:space="preserve"> fees (Division 1, Section 2)</w:t>
      </w:r>
      <w:r>
        <w:tab/>
        <w:t xml:space="preserve">–  </w:t>
      </w:r>
      <w:r w:rsidR="002D1860">
        <w:t xml:space="preserve">$.004 </w:t>
      </w:r>
    </w:p>
    <w:p w:rsidR="00ED5316" w:rsidRDefault="00ED5316" w:rsidP="009A016A">
      <w:pPr>
        <w:widowControl w:val="0"/>
        <w:tabs>
          <w:tab w:val="left" w:pos="7638"/>
        </w:tabs>
        <w:autoSpaceDE w:val="0"/>
        <w:autoSpaceDN w:val="0"/>
        <w:adjustRightInd w:val="0"/>
        <w:ind w:left="2166" w:hanging="726"/>
      </w:pPr>
    </w:p>
    <w:p w:rsidR="002D1860" w:rsidRDefault="002D1860" w:rsidP="009A016A">
      <w:pPr>
        <w:widowControl w:val="0"/>
        <w:tabs>
          <w:tab w:val="left" w:pos="7638"/>
        </w:tabs>
        <w:autoSpaceDE w:val="0"/>
        <w:autoSpaceDN w:val="0"/>
        <w:adjustRightInd w:val="0"/>
        <w:ind w:left="2166" w:hanging="726"/>
      </w:pPr>
      <w:r>
        <w:t>2)</w:t>
      </w:r>
      <w:r>
        <w:tab/>
        <w:t xml:space="preserve">Resident advisory council </w:t>
      </w:r>
      <w:r w:rsidR="009A016A">
        <w:t>(Division 3, Section 4)</w:t>
      </w:r>
      <w:r w:rsidR="009A016A">
        <w:tab/>
        <w:t xml:space="preserve">–  </w:t>
      </w:r>
      <w:r>
        <w:t xml:space="preserve">$.013 </w:t>
      </w:r>
    </w:p>
    <w:p w:rsidR="00ED5316" w:rsidRDefault="00ED5316" w:rsidP="009A016A">
      <w:pPr>
        <w:widowControl w:val="0"/>
        <w:tabs>
          <w:tab w:val="left" w:pos="7638"/>
        </w:tabs>
        <w:autoSpaceDE w:val="0"/>
        <w:autoSpaceDN w:val="0"/>
        <w:adjustRightInd w:val="0"/>
        <w:ind w:left="2166" w:hanging="726"/>
      </w:pPr>
    </w:p>
    <w:p w:rsidR="002D1860" w:rsidRDefault="002D1860" w:rsidP="009A016A">
      <w:pPr>
        <w:widowControl w:val="0"/>
        <w:tabs>
          <w:tab w:val="left" w:pos="7638"/>
        </w:tabs>
        <w:autoSpaceDE w:val="0"/>
        <w:autoSpaceDN w:val="0"/>
        <w:adjustRightInd w:val="0"/>
        <w:ind w:left="2166" w:hanging="726"/>
      </w:pPr>
      <w:r>
        <w:t>3)</w:t>
      </w:r>
      <w:r>
        <w:tab/>
        <w:t>Patient account management (Division 16, Section 6)</w:t>
      </w:r>
      <w:r w:rsidR="009A016A">
        <w:tab/>
        <w:t xml:space="preserve">–  </w:t>
      </w:r>
      <w:r>
        <w:t xml:space="preserve">$.023 </w:t>
      </w:r>
    </w:p>
    <w:p w:rsidR="00ED5316" w:rsidRDefault="00ED5316" w:rsidP="009A016A">
      <w:pPr>
        <w:widowControl w:val="0"/>
        <w:tabs>
          <w:tab w:val="left" w:pos="7638"/>
        </w:tabs>
        <w:autoSpaceDE w:val="0"/>
        <w:autoSpaceDN w:val="0"/>
        <w:adjustRightInd w:val="0"/>
        <w:ind w:left="2166" w:hanging="726"/>
      </w:pPr>
    </w:p>
    <w:p w:rsidR="002D1860" w:rsidRDefault="002D1860" w:rsidP="009A016A">
      <w:pPr>
        <w:widowControl w:val="0"/>
        <w:tabs>
          <w:tab w:val="left" w:pos="7638"/>
        </w:tabs>
        <w:autoSpaceDE w:val="0"/>
        <w:autoSpaceDN w:val="0"/>
        <w:adjustRightInd w:val="0"/>
        <w:ind w:left="2166" w:hanging="726"/>
      </w:pPr>
      <w:r>
        <w:t>4)</w:t>
      </w:r>
      <w:r>
        <w:tab/>
        <w:t>Denture Marking</w:t>
      </w:r>
      <w:r w:rsidR="009A016A">
        <w:tab/>
        <w:t xml:space="preserve">–  </w:t>
      </w:r>
      <w:r>
        <w:t xml:space="preserve">$.001 </w:t>
      </w:r>
    </w:p>
    <w:p w:rsidR="00ED5316" w:rsidRDefault="00ED5316" w:rsidP="009A016A">
      <w:pPr>
        <w:widowControl w:val="0"/>
        <w:tabs>
          <w:tab w:val="left" w:pos="7638"/>
        </w:tabs>
        <w:autoSpaceDE w:val="0"/>
        <w:autoSpaceDN w:val="0"/>
        <w:adjustRightInd w:val="0"/>
        <w:ind w:left="2166" w:hanging="726"/>
      </w:pPr>
    </w:p>
    <w:p w:rsidR="002D1860" w:rsidRDefault="002D1860" w:rsidP="009A016A">
      <w:pPr>
        <w:widowControl w:val="0"/>
        <w:tabs>
          <w:tab w:val="left" w:pos="7638"/>
        </w:tabs>
        <w:autoSpaceDE w:val="0"/>
        <w:autoSpaceDN w:val="0"/>
        <w:adjustRightInd w:val="0"/>
        <w:ind w:left="2166" w:hanging="726"/>
      </w:pPr>
      <w:r>
        <w:t>5)</w:t>
      </w:r>
      <w:r>
        <w:tab/>
        <w:t>Patient Identification</w:t>
      </w:r>
      <w:r w:rsidR="009A016A">
        <w:tab/>
        <w:t xml:space="preserve">–  </w:t>
      </w:r>
      <w:r>
        <w:t xml:space="preserve">$.001 </w:t>
      </w:r>
    </w:p>
    <w:p w:rsidR="009A016A" w:rsidRDefault="009A016A" w:rsidP="009A016A">
      <w:pPr>
        <w:widowControl w:val="0"/>
        <w:tabs>
          <w:tab w:val="left" w:pos="7638"/>
        </w:tabs>
        <w:autoSpaceDE w:val="0"/>
        <w:autoSpaceDN w:val="0"/>
        <w:adjustRightInd w:val="0"/>
        <w:ind w:left="2166" w:hanging="726"/>
      </w:pPr>
    </w:p>
    <w:p w:rsidR="002D1860" w:rsidRDefault="002D1860" w:rsidP="009A016A">
      <w:pPr>
        <w:widowControl w:val="0"/>
        <w:tabs>
          <w:tab w:val="left" w:pos="7638"/>
        </w:tabs>
        <w:autoSpaceDE w:val="0"/>
        <w:autoSpaceDN w:val="0"/>
        <w:adjustRightInd w:val="0"/>
        <w:ind w:left="2166"/>
      </w:pPr>
      <w:r>
        <w:t>Total</w:t>
      </w:r>
      <w:r w:rsidR="009A016A">
        <w:tab/>
        <w:t xml:space="preserve">–  </w:t>
      </w:r>
      <w:r>
        <w:t xml:space="preserve">$.042 </w:t>
      </w:r>
    </w:p>
    <w:p w:rsidR="009A016A" w:rsidRDefault="009A016A" w:rsidP="009A016A">
      <w:pPr>
        <w:widowControl w:val="0"/>
        <w:tabs>
          <w:tab w:val="left" w:pos="7638"/>
        </w:tabs>
        <w:autoSpaceDE w:val="0"/>
        <w:autoSpaceDN w:val="0"/>
        <w:adjustRightInd w:val="0"/>
        <w:ind w:left="2166"/>
      </w:pPr>
    </w:p>
    <w:p w:rsidR="002D1860" w:rsidRDefault="002D1860" w:rsidP="00B72B55">
      <w:pPr>
        <w:widowControl w:val="0"/>
        <w:autoSpaceDE w:val="0"/>
        <w:autoSpaceDN w:val="0"/>
        <w:adjustRightInd w:val="0"/>
        <w:ind w:left="1440" w:hanging="720"/>
      </w:pPr>
      <w:r>
        <w:t>b)</w:t>
      </w:r>
      <w:r>
        <w:tab/>
        <w:t xml:space="preserve">The reimbursement shall be based on the per diem cost estimate for the regulations of 4.2 cents, pro rated for the public aid share.  The public aid share will be determined according to the number of public aid days in the facility between July 28, 1980 and December 31, 1981.  The reimbursement for this time period will be included in the 1981 rate. </w:t>
      </w:r>
    </w:p>
    <w:sectPr w:rsidR="002D1860" w:rsidSect="00B72B5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860"/>
    <w:rsid w:val="002D1860"/>
    <w:rsid w:val="002F22F2"/>
    <w:rsid w:val="00643D57"/>
    <w:rsid w:val="0086396F"/>
    <w:rsid w:val="009A016A"/>
    <w:rsid w:val="00B72B55"/>
    <w:rsid w:val="00ED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A016A"/>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A016A"/>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