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7" w:rsidRDefault="002608D7" w:rsidP="00260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8D7" w:rsidRDefault="002608D7" w:rsidP="00260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113.255  Sheltered Care/Personal or Nursing Care in a Licensed Group Care Facility</w:t>
      </w:r>
      <w:r>
        <w:t xml:space="preserve"> </w:t>
      </w:r>
    </w:p>
    <w:p w:rsidR="002608D7" w:rsidRDefault="002608D7" w:rsidP="002608D7">
      <w:pPr>
        <w:widowControl w:val="0"/>
        <w:autoSpaceDE w:val="0"/>
        <w:autoSpaceDN w:val="0"/>
        <w:adjustRightInd w:val="0"/>
      </w:pPr>
    </w:p>
    <w:p w:rsidR="002608D7" w:rsidRDefault="002608D7" w:rsidP="002608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allowance, based on the rate determined in accordance with the Department Rate Schedule for the specific county grouping, shall be provided for a client receiving sheltered care/personal or nursing care in a licensed group care facility.  The rate schedules are indicated in Section 113.260. </w:t>
      </w:r>
    </w:p>
    <w:p w:rsidR="0042649B" w:rsidRDefault="0042649B" w:rsidP="002608D7">
      <w:pPr>
        <w:widowControl w:val="0"/>
        <w:autoSpaceDE w:val="0"/>
        <w:autoSpaceDN w:val="0"/>
        <w:adjustRightInd w:val="0"/>
        <w:ind w:left="1440" w:hanging="720"/>
      </w:pPr>
    </w:p>
    <w:p w:rsidR="002608D7" w:rsidRDefault="002608D7" w:rsidP="002608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deduction from the client's income is allowed to meet the needs of a dependent spouse and/or children under age 21 who do not have enough income to meet their needs and whose assets do not exceed the asset limit.  To determine needs and asset limits: </w:t>
      </w:r>
    </w:p>
    <w:p w:rsidR="0042649B" w:rsidRDefault="0042649B" w:rsidP="002608D7">
      <w:pPr>
        <w:widowControl w:val="0"/>
        <w:autoSpaceDE w:val="0"/>
        <w:autoSpaceDN w:val="0"/>
        <w:adjustRightInd w:val="0"/>
        <w:ind w:left="2160" w:hanging="720"/>
      </w:pPr>
    </w:p>
    <w:p w:rsidR="002608D7" w:rsidRDefault="002608D7" w:rsidP="002608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spouse only, use the AABD MAG income standard and MAG asset disregard </w:t>
      </w:r>
    </w:p>
    <w:p w:rsidR="0042649B" w:rsidRDefault="0042649B" w:rsidP="002608D7">
      <w:pPr>
        <w:widowControl w:val="0"/>
        <w:autoSpaceDE w:val="0"/>
        <w:autoSpaceDN w:val="0"/>
        <w:adjustRightInd w:val="0"/>
        <w:ind w:left="2160" w:hanging="720"/>
      </w:pPr>
    </w:p>
    <w:p w:rsidR="002608D7" w:rsidRDefault="002608D7" w:rsidP="002608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spouse and/or dependent child(</w:t>
      </w:r>
      <w:proofErr w:type="spellStart"/>
      <w:r>
        <w:t>ren</w:t>
      </w:r>
      <w:proofErr w:type="spellEnd"/>
      <w:r>
        <w:t xml:space="preserve">), use AFDC MAG payment level and MAG asset disregard. </w:t>
      </w:r>
    </w:p>
    <w:p w:rsidR="002608D7" w:rsidRDefault="002608D7" w:rsidP="002608D7">
      <w:pPr>
        <w:widowControl w:val="0"/>
        <w:autoSpaceDE w:val="0"/>
        <w:autoSpaceDN w:val="0"/>
        <w:adjustRightInd w:val="0"/>
        <w:ind w:left="2160" w:hanging="720"/>
      </w:pPr>
    </w:p>
    <w:p w:rsidR="002608D7" w:rsidRDefault="002608D7" w:rsidP="002608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13394, effective August 18, 2000) </w:t>
      </w:r>
    </w:p>
    <w:sectPr w:rsidR="002608D7" w:rsidSect="00260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8D7"/>
    <w:rsid w:val="002608D7"/>
    <w:rsid w:val="0042649B"/>
    <w:rsid w:val="00505DBA"/>
    <w:rsid w:val="005C3366"/>
    <w:rsid w:val="00606060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