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D7" w:rsidRDefault="005D3FD7" w:rsidP="005D3FD7">
      <w:pPr>
        <w:widowControl w:val="0"/>
        <w:autoSpaceDE w:val="0"/>
        <w:autoSpaceDN w:val="0"/>
        <w:adjustRightInd w:val="0"/>
      </w:pPr>
      <w:bookmarkStart w:id="0" w:name="_GoBack"/>
      <w:bookmarkEnd w:id="0"/>
    </w:p>
    <w:p w:rsidR="005D3FD7" w:rsidRDefault="005D3FD7" w:rsidP="005D3FD7">
      <w:pPr>
        <w:widowControl w:val="0"/>
        <w:autoSpaceDE w:val="0"/>
        <w:autoSpaceDN w:val="0"/>
        <w:adjustRightInd w:val="0"/>
      </w:pPr>
      <w:r>
        <w:rPr>
          <w:b/>
          <w:bCs/>
        </w:rPr>
        <w:t>Section 14.300  Suspected Intentional Violation of the Program</w:t>
      </w:r>
      <w:r>
        <w:t xml:space="preserve"> </w:t>
      </w:r>
    </w:p>
    <w:p w:rsidR="005D3FD7" w:rsidRDefault="005D3FD7" w:rsidP="005D3FD7">
      <w:pPr>
        <w:widowControl w:val="0"/>
        <w:autoSpaceDE w:val="0"/>
        <w:autoSpaceDN w:val="0"/>
        <w:adjustRightInd w:val="0"/>
      </w:pPr>
    </w:p>
    <w:p w:rsidR="005D3FD7" w:rsidRDefault="005D3FD7" w:rsidP="005D3FD7">
      <w:pPr>
        <w:widowControl w:val="0"/>
        <w:autoSpaceDE w:val="0"/>
        <w:autoSpaceDN w:val="0"/>
        <w:adjustRightInd w:val="0"/>
      </w:pPr>
      <w:r>
        <w:t xml:space="preserve">If the documentation supports the claim of intentional violation of the program, the Department shall send the individual a notice of suspected intentional violation of the program and of the opportunity to waive the administrative disqualification hearing. Examples of this documentation include statements made by a household member on his application, statements made by a household member and recorded in his case record by the caseworker, and statements made by an employer indicating employment of a household member that conflicts with information on the household member's application.  Based upon an evaluation of the facts, the Department may refer cases of suspected intentional violation for criminal prosecution.  Factors considered by the Department in its evaluation include, but are not limited to, the dollar amount at issue, evidence of willful intent to defraud, and the weight of the evidence. </w:t>
      </w:r>
    </w:p>
    <w:sectPr w:rsidR="005D3FD7" w:rsidSect="005D3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FD7"/>
    <w:rsid w:val="001B0A82"/>
    <w:rsid w:val="005C3366"/>
    <w:rsid w:val="005D3FD7"/>
    <w:rsid w:val="00691829"/>
    <w:rsid w:val="00FE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