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33" w:rsidRDefault="00082F33" w:rsidP="00082F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2F33" w:rsidRDefault="00082F33" w:rsidP="00082F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3000.1115  Complaint</w:t>
      </w:r>
      <w:r>
        <w:t xml:space="preserve"> </w:t>
      </w:r>
    </w:p>
    <w:p w:rsidR="00082F33" w:rsidRDefault="00082F33" w:rsidP="00082F33">
      <w:pPr>
        <w:widowControl w:val="0"/>
        <w:autoSpaceDE w:val="0"/>
        <w:autoSpaceDN w:val="0"/>
        <w:adjustRightInd w:val="0"/>
      </w:pPr>
    </w:p>
    <w:p w:rsidR="00082F33" w:rsidRDefault="00082F33" w:rsidP="00082F33">
      <w:pPr>
        <w:widowControl w:val="0"/>
        <w:autoSpaceDE w:val="0"/>
        <w:autoSpaceDN w:val="0"/>
        <w:adjustRightInd w:val="0"/>
      </w:pPr>
      <w:r>
        <w:t xml:space="preserve">The complaint shall include a statement of facts supporting the seizure or disciplinary action and the rule or statutory Section with violation of which the licensee is being charged. </w:t>
      </w:r>
    </w:p>
    <w:p w:rsidR="00082F33" w:rsidRDefault="00082F33" w:rsidP="00082F33">
      <w:pPr>
        <w:widowControl w:val="0"/>
        <w:autoSpaceDE w:val="0"/>
        <w:autoSpaceDN w:val="0"/>
        <w:adjustRightInd w:val="0"/>
      </w:pPr>
    </w:p>
    <w:p w:rsidR="00082F33" w:rsidRDefault="00082F33" w:rsidP="00082F3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4642, effective April 1, 1997) </w:t>
      </w:r>
    </w:p>
    <w:sectPr w:rsidR="00082F33" w:rsidSect="00082F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2F33"/>
    <w:rsid w:val="00082F33"/>
    <w:rsid w:val="005C3366"/>
    <w:rsid w:val="0082463C"/>
    <w:rsid w:val="00E966DF"/>
    <w:rsid w:val="00E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