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2" w:rsidRDefault="00714AF2" w:rsidP="00714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8DC" w:rsidRPr="00714AF2" w:rsidRDefault="00714AF2" w:rsidP="00714AF2">
      <w:r>
        <w:t>AUTHORITY:  Implementing and authorized by Article 7 and Sections 16-180 through 16-195 of the Property Tax Code [35 ILCS 200/Art. 7 and 16-180 through 16-195].</w:t>
      </w:r>
    </w:p>
    <w:sectPr w:rsidR="007D08DC" w:rsidRPr="00714AF2" w:rsidSect="003B45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51D"/>
    <w:rsid w:val="003B451D"/>
    <w:rsid w:val="0053040C"/>
    <w:rsid w:val="00542D05"/>
    <w:rsid w:val="005C3366"/>
    <w:rsid w:val="00714AF2"/>
    <w:rsid w:val="007D08DC"/>
    <w:rsid w:val="00960CB9"/>
    <w:rsid w:val="00A61BFC"/>
    <w:rsid w:val="00B01F62"/>
    <w:rsid w:val="00D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AF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AF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Property Tax Code [35 ILCS 200/Art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Property Tax Code [35 ILCS 200/Art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