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EE" w:rsidRDefault="00AF69EE" w:rsidP="00AF69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69EE" w:rsidRDefault="00AF69EE" w:rsidP="00AF69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140.1020  Use of Bracket Chart</w:t>
      </w:r>
      <w:r>
        <w:t xml:space="preserve"> </w:t>
      </w:r>
    </w:p>
    <w:p w:rsidR="00AF69EE" w:rsidRDefault="00AF69EE" w:rsidP="00AF69EE">
      <w:pPr>
        <w:widowControl w:val="0"/>
        <w:autoSpaceDE w:val="0"/>
        <w:autoSpaceDN w:val="0"/>
        <w:adjustRightInd w:val="0"/>
      </w:pPr>
    </w:p>
    <w:p w:rsidR="00AF69EE" w:rsidRDefault="00AF69EE" w:rsidP="00AF69EE">
      <w:pPr>
        <w:widowControl w:val="0"/>
        <w:autoSpaceDE w:val="0"/>
        <w:autoSpaceDN w:val="0"/>
        <w:adjustRightInd w:val="0"/>
      </w:pPr>
      <w:r>
        <w:t xml:space="preserve">Suppliers who are required to collect the tax from servicemen under the provisions of the Act shall use the applicable tax collection bracket chart as prescribed in Subpart D of the Use Tax Regulations (86 Ill. Adm. Code 150) for the rate of tax or combined taxes which apply to the transaction. </w:t>
      </w:r>
    </w:p>
    <w:p w:rsidR="00AF69EE" w:rsidRDefault="00AF69EE" w:rsidP="00AF69EE">
      <w:pPr>
        <w:widowControl w:val="0"/>
        <w:autoSpaceDE w:val="0"/>
        <w:autoSpaceDN w:val="0"/>
        <w:adjustRightInd w:val="0"/>
      </w:pPr>
    </w:p>
    <w:p w:rsidR="00AF69EE" w:rsidRDefault="00AF69EE" w:rsidP="00AF69E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 Ill. Reg. 24, p. 550, effective June 1, 1980) </w:t>
      </w:r>
    </w:p>
    <w:sectPr w:rsidR="00AF69EE" w:rsidSect="00AF69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69EE"/>
    <w:rsid w:val="004810E5"/>
    <w:rsid w:val="005C3366"/>
    <w:rsid w:val="00AF69EE"/>
    <w:rsid w:val="00C00B9D"/>
    <w:rsid w:val="00C2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General Assembly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