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98" w:rsidRDefault="008A1B98" w:rsidP="008A1B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B98" w:rsidRDefault="008A1B98" w:rsidP="008A1B9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745.EXHIBIT</w:t>
      </w:r>
      <w:proofErr w:type="spellEnd"/>
      <w:r>
        <w:rPr>
          <w:b/>
          <w:bCs/>
        </w:rPr>
        <w:t xml:space="preserve"> A  Notice of Competitive Tariff Filing Under Section 13-502(e)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8A1B98" w:rsidRDefault="008A1B98" w:rsidP="008A1B98">
      <w:pPr>
        <w:widowControl w:val="0"/>
        <w:autoSpaceDE w:val="0"/>
        <w:autoSpaceDN w:val="0"/>
        <w:adjustRightInd w:val="0"/>
      </w:pPr>
    </w:p>
    <w:p w:rsidR="008A1B98" w:rsidRDefault="008A1B98" w:rsidP="008A1B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1597, effective February 1, 1999) </w:t>
      </w:r>
    </w:p>
    <w:sectPr w:rsidR="008A1B98" w:rsidSect="008A1B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B98"/>
    <w:rsid w:val="002166E5"/>
    <w:rsid w:val="00245B08"/>
    <w:rsid w:val="005C3366"/>
    <w:rsid w:val="008A1B98"/>
    <w:rsid w:val="00C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