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330.10</w:t>
      </w:r>
      <w:r>
        <w:tab/>
        <w:t xml:space="preserve">Definitions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330.20</w:t>
      </w:r>
      <w:r>
        <w:tab/>
        <w:t xml:space="preserve">Applicability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330.30</w:t>
      </w:r>
      <w:r>
        <w:tab/>
        <w:t xml:space="preserve">Necessary Conditions for A Temporary Rate Increase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330.40</w:t>
      </w:r>
      <w:r>
        <w:tab/>
        <w:t xml:space="preserve">Filing Requirements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330.45</w:t>
      </w:r>
      <w:r>
        <w:tab/>
        <w:t xml:space="preserve">Standard for Decision in Granting a Temporary Rate Increase </w:t>
      </w:r>
    </w:p>
    <w:p w:rsidR="008160B5" w:rsidRDefault="008160B5" w:rsidP="00BB3B66">
      <w:pPr>
        <w:widowControl w:val="0"/>
        <w:autoSpaceDE w:val="0"/>
        <w:autoSpaceDN w:val="0"/>
        <w:adjustRightInd w:val="0"/>
        <w:ind w:left="1425" w:hanging="1425"/>
      </w:pPr>
      <w:r>
        <w:t>330.50</w:t>
      </w:r>
      <w:r>
        <w:tab/>
        <w:t xml:space="preserve">Refunds </w:t>
      </w:r>
    </w:p>
    <w:sectPr w:rsidR="008160B5" w:rsidSect="00816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0B5"/>
    <w:rsid w:val="0027079C"/>
    <w:rsid w:val="0060315F"/>
    <w:rsid w:val="008160B5"/>
    <w:rsid w:val="00BB3B66"/>
    <w:rsid w:val="00FB2699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