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F93" w:rsidRDefault="00F71F93" w:rsidP="00F71F9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PROVISIONS APPLICABLE TO</w:t>
      </w:r>
    </w:p>
    <w:p w:rsidR="00F71F93" w:rsidRDefault="00F71F93" w:rsidP="00F71F93">
      <w:pPr>
        <w:widowControl w:val="0"/>
        <w:autoSpaceDE w:val="0"/>
        <w:autoSpaceDN w:val="0"/>
        <w:adjustRightInd w:val="0"/>
        <w:jc w:val="center"/>
      </w:pPr>
      <w:r>
        <w:t>MORE THAN ONE KIND OF UTILITY</w:t>
      </w:r>
    </w:p>
    <w:sectPr w:rsidR="00F71F93" w:rsidSect="00F71F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1F93"/>
    <w:rsid w:val="0015033F"/>
    <w:rsid w:val="00422734"/>
    <w:rsid w:val="005C3366"/>
    <w:rsid w:val="005E29E0"/>
    <w:rsid w:val="00F7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PROVISIONS APPLICABLE TO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PROVISIONS APPLICABLE TO</dc:title>
  <dc:subject/>
  <dc:creator>Illinois General Assembly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