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D" w:rsidRDefault="0049653D" w:rsidP="00496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53D" w:rsidRDefault="0049653D" w:rsidP="004965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200.400  Service and Fees Payable</w:t>
      </w:r>
      <w:r>
        <w:t xml:space="preserve"> </w:t>
      </w:r>
    </w:p>
    <w:p w:rsidR="0049653D" w:rsidRDefault="0049653D" w:rsidP="0049653D">
      <w:pPr>
        <w:widowControl w:val="0"/>
        <w:autoSpaceDE w:val="0"/>
        <w:autoSpaceDN w:val="0"/>
        <w:adjustRightInd w:val="0"/>
      </w:pPr>
    </w:p>
    <w:p w:rsidR="0049653D" w:rsidRDefault="0049653D" w:rsidP="0049653D">
      <w:pPr>
        <w:widowControl w:val="0"/>
        <w:autoSpaceDE w:val="0"/>
        <w:autoSpaceDN w:val="0"/>
        <w:adjustRightInd w:val="0"/>
      </w:pPr>
      <w:r>
        <w:t xml:space="preserve">Service of subpoenas and payment of witness and mileage fees shall be as provided in Section 10-106 of the Public Utilities Act.  No person served with a subpoena which has been issued at the instance of any party to a proceeding before the Commission shall be required to respond to such subpoena unless the appropriate fees for attendance and travel are tendered at the time of service. </w:t>
      </w:r>
    </w:p>
    <w:p w:rsidR="0049653D" w:rsidRDefault="0049653D" w:rsidP="0049653D">
      <w:pPr>
        <w:widowControl w:val="0"/>
        <w:autoSpaceDE w:val="0"/>
        <w:autoSpaceDN w:val="0"/>
        <w:adjustRightInd w:val="0"/>
      </w:pPr>
    </w:p>
    <w:p w:rsidR="0049653D" w:rsidRDefault="0049653D" w:rsidP="004965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10481, effective May 30, 1986) </w:t>
      </w:r>
    </w:p>
    <w:sectPr w:rsidR="0049653D" w:rsidSect="00496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53D"/>
    <w:rsid w:val="00454E00"/>
    <w:rsid w:val="0049653D"/>
    <w:rsid w:val="005463AC"/>
    <w:rsid w:val="005C3366"/>
    <w:rsid w:val="008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