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D6" w:rsidRDefault="00C167D6" w:rsidP="00C16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7D6" w:rsidRDefault="00C167D6" w:rsidP="00C167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2650.25  Request to Solicit Employees</w:t>
      </w:r>
      <w:r>
        <w:t xml:space="preserve"> </w:t>
      </w:r>
      <w:r>
        <w:rPr>
          <w:b/>
          <w:bCs/>
        </w:rPr>
        <w:t>or Annuitants</w:t>
      </w:r>
      <w:r>
        <w:t xml:space="preserve"> </w:t>
      </w:r>
    </w:p>
    <w:p w:rsidR="00C167D6" w:rsidRDefault="00C167D6" w:rsidP="00C167D6">
      <w:pPr>
        <w:widowControl w:val="0"/>
        <w:autoSpaceDE w:val="0"/>
        <w:autoSpaceDN w:val="0"/>
        <w:adjustRightInd w:val="0"/>
      </w:pPr>
    </w:p>
    <w:p w:rsidR="00C167D6" w:rsidRDefault="00C167D6" w:rsidP="00C167D6">
      <w:pPr>
        <w:widowControl w:val="0"/>
        <w:autoSpaceDE w:val="0"/>
        <w:autoSpaceDN w:val="0"/>
        <w:adjustRightInd w:val="0"/>
      </w:pPr>
      <w:r>
        <w:t xml:space="preserve">Any request by a charitable organization, whether a Qualified Charitable Organization or not, to solicit contributions from employees or annuitants received in any agency shall be forwarded to the Director for action as provided in this Part. </w:t>
      </w:r>
    </w:p>
    <w:p w:rsidR="00C167D6" w:rsidRDefault="00C167D6" w:rsidP="00C167D6">
      <w:pPr>
        <w:widowControl w:val="0"/>
        <w:autoSpaceDE w:val="0"/>
        <w:autoSpaceDN w:val="0"/>
        <w:adjustRightInd w:val="0"/>
      </w:pPr>
    </w:p>
    <w:p w:rsidR="00C167D6" w:rsidRDefault="00C167D6" w:rsidP="00C167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5761, effective April 4, 2002) </w:t>
      </w:r>
    </w:p>
    <w:sectPr w:rsidR="00C167D6" w:rsidSect="00C16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7D6"/>
    <w:rsid w:val="000B026F"/>
    <w:rsid w:val="000C74A1"/>
    <w:rsid w:val="005962F9"/>
    <w:rsid w:val="005C3366"/>
    <w:rsid w:val="00C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