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75" w:rsidRDefault="003C5875" w:rsidP="003C58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875" w:rsidRDefault="003C5875" w:rsidP="003C58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1650.204  Gainful Employment - Consequences</w:t>
      </w:r>
      <w:r>
        <w:t xml:space="preserve"> </w:t>
      </w:r>
    </w:p>
    <w:p w:rsidR="003C5875" w:rsidRDefault="003C5875" w:rsidP="003C5875">
      <w:pPr>
        <w:widowControl w:val="0"/>
        <w:autoSpaceDE w:val="0"/>
        <w:autoSpaceDN w:val="0"/>
        <w:adjustRightInd w:val="0"/>
      </w:pPr>
    </w:p>
    <w:p w:rsidR="003C5875" w:rsidRDefault="003C5875" w:rsidP="003C5875">
      <w:pPr>
        <w:widowControl w:val="0"/>
        <w:autoSpaceDE w:val="0"/>
        <w:autoSpaceDN w:val="0"/>
        <w:adjustRightInd w:val="0"/>
      </w:pPr>
      <w:r>
        <w:t xml:space="preserve">A member in receipt of a disability benefit under the provisions of 40 </w:t>
      </w:r>
      <w:proofErr w:type="spellStart"/>
      <w:r>
        <w:t>ILCS</w:t>
      </w:r>
      <w:proofErr w:type="spellEnd"/>
      <w:r>
        <w:t xml:space="preserve"> 5/16-149 or 16-149.1 who engages in "gainful employment" as defined in Section 1650.202 shall have his or her disability or occupational disability benefit terminated as provided in Section 16-149(c) or Section 16-149.1(c), whichever is applicable. </w:t>
      </w:r>
    </w:p>
    <w:p w:rsidR="003C5875" w:rsidRDefault="003C5875" w:rsidP="003C5875">
      <w:pPr>
        <w:widowControl w:val="0"/>
        <w:autoSpaceDE w:val="0"/>
        <w:autoSpaceDN w:val="0"/>
        <w:adjustRightInd w:val="0"/>
      </w:pPr>
    </w:p>
    <w:p w:rsidR="003C5875" w:rsidRDefault="003C5875" w:rsidP="003C58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2440, effective January 27, 2000) </w:t>
      </w:r>
    </w:p>
    <w:sectPr w:rsidR="003C5875" w:rsidSect="003C5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875"/>
    <w:rsid w:val="002A2EA5"/>
    <w:rsid w:val="003C5875"/>
    <w:rsid w:val="00483D51"/>
    <w:rsid w:val="005C3366"/>
    <w:rsid w:val="00E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