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48" w:rsidRDefault="00591E48" w:rsidP="00591E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E48" w:rsidRDefault="00591E48" w:rsidP="00591E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1540.320  Optional Forms of Benefits - Basis of Computation</w:t>
      </w:r>
      <w:r>
        <w:t xml:space="preserve"> </w:t>
      </w:r>
    </w:p>
    <w:p w:rsidR="00591E48" w:rsidRDefault="00591E48" w:rsidP="00591E48">
      <w:pPr>
        <w:widowControl w:val="0"/>
        <w:autoSpaceDE w:val="0"/>
        <w:autoSpaceDN w:val="0"/>
        <w:adjustRightInd w:val="0"/>
      </w:pPr>
    </w:p>
    <w:p w:rsidR="00591E48" w:rsidRDefault="00591E48" w:rsidP="00591E48">
      <w:pPr>
        <w:widowControl w:val="0"/>
        <w:autoSpaceDE w:val="0"/>
        <w:autoSpaceDN w:val="0"/>
        <w:adjustRightInd w:val="0"/>
      </w:pPr>
      <w:r>
        <w:t xml:space="preserve">For purposes of computing optional forms of benefit provided in the Retirement Act, the interest used shall be 8.50% per annum and the mortality rate shall be 52% of the rate in Table A, column A plus 48% of the rate in Table A, column B for members and 48% of the rate in Table A, column A plus 52% of the rate in Table A, column B for surviving beneficiaries of members. </w:t>
      </w:r>
    </w:p>
    <w:p w:rsidR="00591E48" w:rsidRDefault="00591E48" w:rsidP="00591E48">
      <w:pPr>
        <w:widowControl w:val="0"/>
        <w:autoSpaceDE w:val="0"/>
        <w:autoSpaceDN w:val="0"/>
        <w:adjustRightInd w:val="0"/>
      </w:pPr>
    </w:p>
    <w:p w:rsidR="00591E48" w:rsidRDefault="00591E48" w:rsidP="00591E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3824, effective March 9, 1999) </w:t>
      </w:r>
    </w:p>
    <w:sectPr w:rsidR="00591E48" w:rsidSect="00591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E48"/>
    <w:rsid w:val="001D5903"/>
    <w:rsid w:val="00591E48"/>
    <w:rsid w:val="005C3366"/>
    <w:rsid w:val="00BE5072"/>
    <w:rsid w:val="00E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