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29" w:rsidRPr="007C4A29" w:rsidRDefault="00AC6629" w:rsidP="00AC6629">
      <w:pPr>
        <w:widowControl w:val="0"/>
        <w:autoSpaceDE w:val="0"/>
        <w:autoSpaceDN w:val="0"/>
        <w:adjustRightInd w:val="0"/>
      </w:pPr>
      <w:bookmarkStart w:id="0" w:name="_GoBack"/>
      <w:bookmarkEnd w:id="0"/>
      <w:r>
        <w:rPr>
          <w:b/>
          <w:bCs/>
        </w:rPr>
        <w:br w:type="page"/>
      </w:r>
      <w:r w:rsidRPr="007C4A29">
        <w:rPr>
          <w:b/>
          <w:bCs/>
        </w:rPr>
        <w:lastRenderedPageBreak/>
        <w:t>Section 310.APPENDIX B   Frozen Negotiated-Rates-of-Pay</w:t>
      </w:r>
    </w:p>
    <w:p w:rsidR="00AC6629" w:rsidRPr="007C4A29" w:rsidRDefault="00AC6629" w:rsidP="00AC6629">
      <w:pPr>
        <w:jc w:val="center"/>
      </w:pPr>
    </w:p>
    <w:p w:rsidR="00AC6629" w:rsidRPr="007C4A29" w:rsidRDefault="00AC6629" w:rsidP="00AC6629">
      <w:pPr>
        <w:rPr>
          <w:b/>
        </w:rPr>
      </w:pPr>
      <w:r w:rsidRPr="007C4A29">
        <w:rPr>
          <w:b/>
          <w:bCs/>
        </w:rPr>
        <w:t>Section 310.TABLE S   Frozen</w:t>
      </w:r>
      <w:r>
        <w:rPr>
          <w:b/>
          <w:bCs/>
        </w:rPr>
        <w:t xml:space="preserve"> </w:t>
      </w:r>
      <w:r w:rsidRPr="007C4A29">
        <w:rPr>
          <w:b/>
        </w:rPr>
        <w:t>VR-704</w:t>
      </w:r>
      <w:r w:rsidRPr="00EF58B9">
        <w:rPr>
          <w:b/>
        </w:rPr>
        <w:t>-Rates-of-Pay</w:t>
      </w:r>
      <w:r w:rsidRPr="007C4A29">
        <w:rPr>
          <w:b/>
        </w:rPr>
        <w:t xml:space="preserve"> (Corrections, Financial and Professional Regulation, Juvenile Justice and State Police Supervisors, Laborers</w:t>
      </w:r>
      <w:r>
        <w:rPr>
          <w:b/>
        </w:rPr>
        <w:t>'</w:t>
      </w:r>
      <w:r w:rsidRPr="007C4A29">
        <w:rPr>
          <w:b/>
        </w:rPr>
        <w:t xml:space="preserve"> – ISEA Local #2002)</w:t>
      </w:r>
    </w:p>
    <w:p w:rsidR="00AC6629" w:rsidRDefault="00AC6629" w:rsidP="00AC6629"/>
    <w:tbl>
      <w:tblPr>
        <w:tblW w:w="9465" w:type="dxa"/>
        <w:tblLayout w:type="fixed"/>
        <w:tblLook w:val="04A0" w:firstRow="1" w:lastRow="0" w:firstColumn="1" w:lastColumn="0" w:noHBand="0" w:noVBand="1"/>
      </w:tblPr>
      <w:tblGrid>
        <w:gridCol w:w="5865"/>
        <w:gridCol w:w="1170"/>
        <w:gridCol w:w="1530"/>
        <w:gridCol w:w="900"/>
      </w:tblGrid>
      <w:tr w:rsidR="00AC6629" w:rsidRPr="00B8467E" w:rsidTr="00F80364">
        <w:tc>
          <w:tcPr>
            <w:tcW w:w="5865" w:type="dxa"/>
            <w:vAlign w:val="bottom"/>
          </w:tcPr>
          <w:p w:rsidR="00AC6629" w:rsidRPr="00B8467E" w:rsidRDefault="00AC6629" w:rsidP="00F80364">
            <w:pPr>
              <w:ind w:left="270" w:right="612" w:hanging="270"/>
              <w:jc w:val="center"/>
              <w:rPr>
                <w:b/>
                <w:sz w:val="22"/>
                <w:szCs w:val="22"/>
                <w:u w:val="single"/>
              </w:rPr>
            </w:pPr>
            <w:r w:rsidRPr="00B8467E">
              <w:rPr>
                <w:b/>
                <w:sz w:val="22"/>
                <w:szCs w:val="22"/>
                <w:u w:val="single"/>
              </w:rPr>
              <w:t>Title</w:t>
            </w:r>
          </w:p>
        </w:tc>
        <w:tc>
          <w:tcPr>
            <w:tcW w:w="1170" w:type="dxa"/>
            <w:vAlign w:val="bottom"/>
          </w:tcPr>
          <w:p w:rsidR="00AC6629" w:rsidRPr="00B8467E" w:rsidRDefault="00AC6629" w:rsidP="00F80364">
            <w:pPr>
              <w:pStyle w:val="Heading5"/>
              <w:ind w:left="-78"/>
              <w:jc w:val="center"/>
              <w:rPr>
                <w:b/>
                <w:szCs w:val="22"/>
                <w:u w:val="single"/>
              </w:rPr>
            </w:pPr>
            <w:r w:rsidRPr="00B8467E">
              <w:rPr>
                <w:b/>
                <w:szCs w:val="22"/>
                <w:u w:val="single"/>
              </w:rPr>
              <w:t>Title Code</w:t>
            </w:r>
          </w:p>
        </w:tc>
        <w:tc>
          <w:tcPr>
            <w:tcW w:w="1530" w:type="dxa"/>
            <w:vAlign w:val="bottom"/>
          </w:tcPr>
          <w:p w:rsidR="00AC6629" w:rsidRPr="00B8467E" w:rsidRDefault="00AC6629" w:rsidP="00F80364">
            <w:pPr>
              <w:pStyle w:val="Heading5"/>
              <w:ind w:left="-111"/>
              <w:jc w:val="center"/>
              <w:rPr>
                <w:b/>
                <w:szCs w:val="22"/>
                <w:u w:val="single"/>
              </w:rPr>
            </w:pPr>
            <w:r w:rsidRPr="00B8467E">
              <w:rPr>
                <w:b/>
                <w:szCs w:val="22"/>
                <w:u w:val="single"/>
              </w:rPr>
              <w:t>Bargaining Unit</w:t>
            </w:r>
          </w:p>
        </w:tc>
        <w:tc>
          <w:tcPr>
            <w:tcW w:w="900" w:type="dxa"/>
            <w:vAlign w:val="bottom"/>
          </w:tcPr>
          <w:p w:rsidR="00AC6629" w:rsidRPr="00B8467E" w:rsidRDefault="00AC6629" w:rsidP="00F80364">
            <w:pPr>
              <w:pStyle w:val="Heading5"/>
              <w:ind w:left="-105"/>
              <w:jc w:val="center"/>
              <w:rPr>
                <w:b/>
                <w:szCs w:val="22"/>
                <w:u w:val="single"/>
              </w:rPr>
            </w:pPr>
            <w:r w:rsidRPr="00B8467E">
              <w:rPr>
                <w:b/>
                <w:szCs w:val="22"/>
                <w:u w:val="single"/>
              </w:rPr>
              <w:t>Pay Grade</w:t>
            </w:r>
          </w:p>
        </w:tc>
      </w:tr>
      <w:tr w:rsidR="00AC6629" w:rsidRPr="007C4A29" w:rsidTr="00F80364">
        <w:tc>
          <w:tcPr>
            <w:tcW w:w="5865" w:type="dxa"/>
            <w:vAlign w:val="bottom"/>
          </w:tcPr>
          <w:p w:rsidR="00AC6629" w:rsidRPr="007C4A29" w:rsidRDefault="00AC6629" w:rsidP="00F80364">
            <w:pPr>
              <w:ind w:left="270" w:hanging="270"/>
            </w:pPr>
            <w:r w:rsidRPr="007C4A29">
              <w:t>Clinical Services Supervisor</w:t>
            </w:r>
          </w:p>
        </w:tc>
        <w:tc>
          <w:tcPr>
            <w:tcW w:w="1170" w:type="dxa"/>
            <w:vAlign w:val="bottom"/>
          </w:tcPr>
          <w:p w:rsidR="00AC6629" w:rsidRPr="007C4A29" w:rsidRDefault="00AC6629" w:rsidP="00F80364">
            <w:pPr>
              <w:jc w:val="center"/>
            </w:pPr>
            <w:r w:rsidRPr="007C4A29">
              <w:t>08260</w:t>
            </w:r>
          </w:p>
        </w:tc>
        <w:tc>
          <w:tcPr>
            <w:tcW w:w="1530" w:type="dxa"/>
            <w:vAlign w:val="bottom"/>
          </w:tcPr>
          <w:p w:rsidR="00AC6629" w:rsidRPr="007C4A29" w:rsidRDefault="00AC6629" w:rsidP="00F80364">
            <w:pPr>
              <w:jc w:val="center"/>
            </w:pPr>
            <w:r w:rsidRPr="007C4A29">
              <w:t>VR-704</w:t>
            </w:r>
          </w:p>
        </w:tc>
        <w:tc>
          <w:tcPr>
            <w:tcW w:w="900" w:type="dxa"/>
            <w:vAlign w:val="bottom"/>
          </w:tcPr>
          <w:p w:rsidR="00AC6629" w:rsidRPr="007C4A29" w:rsidRDefault="00AC6629" w:rsidP="00F80364">
            <w:pPr>
              <w:jc w:val="center"/>
            </w:pPr>
            <w:r w:rsidRPr="007C4A29">
              <w:t>24</w:t>
            </w:r>
          </w:p>
        </w:tc>
      </w:tr>
      <w:tr w:rsidR="00AC6629" w:rsidRPr="007C4A29" w:rsidTr="00F80364">
        <w:tc>
          <w:tcPr>
            <w:tcW w:w="5865" w:type="dxa"/>
            <w:vAlign w:val="bottom"/>
          </w:tcPr>
          <w:p w:rsidR="00AC6629" w:rsidRPr="007C4A29" w:rsidRDefault="00AC6629" w:rsidP="00F80364">
            <w:pPr>
              <w:ind w:left="270" w:hanging="270"/>
            </w:pPr>
            <w:r w:rsidRPr="007C4A29">
              <w:t>Forensic Science Administrator I</w:t>
            </w:r>
          </w:p>
        </w:tc>
        <w:tc>
          <w:tcPr>
            <w:tcW w:w="1170" w:type="dxa"/>
            <w:vAlign w:val="bottom"/>
          </w:tcPr>
          <w:p w:rsidR="00AC6629" w:rsidRPr="007C4A29" w:rsidRDefault="00AC6629" w:rsidP="00F80364">
            <w:pPr>
              <w:jc w:val="center"/>
            </w:pPr>
            <w:r w:rsidRPr="007C4A29">
              <w:t>15911</w:t>
            </w:r>
          </w:p>
        </w:tc>
        <w:tc>
          <w:tcPr>
            <w:tcW w:w="1530" w:type="dxa"/>
            <w:vAlign w:val="bottom"/>
          </w:tcPr>
          <w:p w:rsidR="00AC6629" w:rsidRPr="007C4A29" w:rsidRDefault="00AC6629" w:rsidP="00F80364">
            <w:pPr>
              <w:jc w:val="center"/>
            </w:pPr>
            <w:r w:rsidRPr="007C4A29">
              <w:t>VR-704</w:t>
            </w:r>
          </w:p>
        </w:tc>
        <w:tc>
          <w:tcPr>
            <w:tcW w:w="900" w:type="dxa"/>
            <w:vAlign w:val="bottom"/>
          </w:tcPr>
          <w:p w:rsidR="00AC6629" w:rsidRPr="007C4A29" w:rsidRDefault="00AC6629" w:rsidP="00F80364">
            <w:pPr>
              <w:jc w:val="center"/>
            </w:pPr>
            <w:r w:rsidRPr="007C4A29">
              <w:t>24</w:t>
            </w:r>
          </w:p>
        </w:tc>
      </w:tr>
      <w:tr w:rsidR="00AC6629" w:rsidRPr="007C4A29" w:rsidTr="00F80364">
        <w:tc>
          <w:tcPr>
            <w:tcW w:w="5865" w:type="dxa"/>
            <w:vAlign w:val="bottom"/>
          </w:tcPr>
          <w:p w:rsidR="00AC6629" w:rsidRPr="007C4A29" w:rsidRDefault="00AC6629" w:rsidP="00F80364">
            <w:pPr>
              <w:ind w:left="270" w:hanging="270"/>
            </w:pPr>
            <w:r w:rsidRPr="007C4A29">
              <w:t>Forensic Science Administrator II</w:t>
            </w:r>
          </w:p>
        </w:tc>
        <w:tc>
          <w:tcPr>
            <w:tcW w:w="1170" w:type="dxa"/>
            <w:vAlign w:val="bottom"/>
          </w:tcPr>
          <w:p w:rsidR="00AC6629" w:rsidRPr="007C4A29" w:rsidRDefault="00AC6629" w:rsidP="00F80364">
            <w:pPr>
              <w:jc w:val="center"/>
            </w:pPr>
            <w:r w:rsidRPr="007C4A29">
              <w:t>15912</w:t>
            </w:r>
          </w:p>
        </w:tc>
        <w:tc>
          <w:tcPr>
            <w:tcW w:w="1530" w:type="dxa"/>
            <w:vAlign w:val="bottom"/>
          </w:tcPr>
          <w:p w:rsidR="00AC6629" w:rsidRPr="007C4A29" w:rsidRDefault="00AC6629" w:rsidP="00F80364">
            <w:pPr>
              <w:jc w:val="center"/>
            </w:pPr>
            <w:r w:rsidRPr="007C4A29">
              <w:t>VR-704</w:t>
            </w:r>
          </w:p>
        </w:tc>
        <w:tc>
          <w:tcPr>
            <w:tcW w:w="900" w:type="dxa"/>
            <w:vAlign w:val="bottom"/>
          </w:tcPr>
          <w:p w:rsidR="00AC6629" w:rsidRPr="007C4A29" w:rsidRDefault="00AC6629" w:rsidP="00F80364">
            <w:pPr>
              <w:jc w:val="center"/>
            </w:pPr>
            <w:r w:rsidRPr="007C4A29">
              <w:t>25</w:t>
            </w:r>
          </w:p>
        </w:tc>
      </w:tr>
      <w:tr w:rsidR="00AC6629" w:rsidRPr="007C4A29" w:rsidTr="00F80364">
        <w:tc>
          <w:tcPr>
            <w:tcW w:w="5865" w:type="dxa"/>
            <w:vAlign w:val="bottom"/>
          </w:tcPr>
          <w:p w:rsidR="00AC6629" w:rsidRPr="007C4A29" w:rsidRDefault="00AC6629" w:rsidP="00F80364">
            <w:pPr>
              <w:ind w:left="270" w:hanging="270"/>
            </w:pPr>
            <w:r w:rsidRPr="007C4A29">
              <w:t>Juvenile Justice Chief of Security</w:t>
            </w:r>
          </w:p>
        </w:tc>
        <w:tc>
          <w:tcPr>
            <w:tcW w:w="1170" w:type="dxa"/>
            <w:vAlign w:val="bottom"/>
          </w:tcPr>
          <w:p w:rsidR="00AC6629" w:rsidRPr="007C4A29" w:rsidRDefault="00AC6629" w:rsidP="00F80364">
            <w:pPr>
              <w:jc w:val="center"/>
            </w:pPr>
            <w:r w:rsidRPr="007C4A29">
              <w:t>21965</w:t>
            </w:r>
          </w:p>
        </w:tc>
        <w:tc>
          <w:tcPr>
            <w:tcW w:w="1530" w:type="dxa"/>
            <w:vAlign w:val="bottom"/>
          </w:tcPr>
          <w:p w:rsidR="00AC6629" w:rsidRPr="007C4A29" w:rsidRDefault="00AC6629" w:rsidP="00F80364">
            <w:pPr>
              <w:jc w:val="center"/>
            </w:pPr>
            <w:r w:rsidRPr="007C4A29">
              <w:t>VR-704</w:t>
            </w:r>
          </w:p>
        </w:tc>
        <w:tc>
          <w:tcPr>
            <w:tcW w:w="900" w:type="dxa"/>
            <w:vAlign w:val="bottom"/>
          </w:tcPr>
          <w:p w:rsidR="00AC6629" w:rsidRPr="007C4A29" w:rsidRDefault="00AC6629" w:rsidP="00F80364">
            <w:pPr>
              <w:jc w:val="center"/>
            </w:pPr>
            <w:r w:rsidRPr="007C4A29">
              <w:t>24</w:t>
            </w:r>
          </w:p>
        </w:tc>
      </w:tr>
      <w:tr w:rsidR="00AC6629" w:rsidRPr="007C4A29" w:rsidTr="00F80364">
        <w:tc>
          <w:tcPr>
            <w:tcW w:w="5865" w:type="dxa"/>
            <w:vAlign w:val="bottom"/>
          </w:tcPr>
          <w:p w:rsidR="00AC6629" w:rsidRPr="007C4A29" w:rsidRDefault="00AC6629" w:rsidP="00F80364">
            <w:pPr>
              <w:ind w:left="270" w:hanging="270"/>
            </w:pPr>
            <w:r w:rsidRPr="007C4A29">
              <w:t>Police Lieutenant</w:t>
            </w:r>
          </w:p>
        </w:tc>
        <w:tc>
          <w:tcPr>
            <w:tcW w:w="1170" w:type="dxa"/>
            <w:vAlign w:val="bottom"/>
          </w:tcPr>
          <w:p w:rsidR="00AC6629" w:rsidRPr="007C4A29" w:rsidRDefault="00AC6629" w:rsidP="00F80364">
            <w:pPr>
              <w:jc w:val="center"/>
            </w:pPr>
            <w:r w:rsidRPr="007C4A29">
              <w:t>32977</w:t>
            </w:r>
          </w:p>
        </w:tc>
        <w:tc>
          <w:tcPr>
            <w:tcW w:w="1530" w:type="dxa"/>
            <w:vAlign w:val="bottom"/>
          </w:tcPr>
          <w:p w:rsidR="00AC6629" w:rsidRPr="007C4A29" w:rsidRDefault="00AC6629" w:rsidP="00F80364">
            <w:pPr>
              <w:jc w:val="center"/>
            </w:pPr>
            <w:r w:rsidRPr="007C4A29">
              <w:t>VR-704</w:t>
            </w:r>
          </w:p>
        </w:tc>
        <w:tc>
          <w:tcPr>
            <w:tcW w:w="900" w:type="dxa"/>
            <w:vAlign w:val="bottom"/>
          </w:tcPr>
          <w:p w:rsidR="00AC6629" w:rsidRPr="007C4A29" w:rsidRDefault="00AC6629" w:rsidP="00F80364">
            <w:pPr>
              <w:jc w:val="center"/>
            </w:pPr>
            <w:r w:rsidRPr="007C4A29">
              <w:t>24</w:t>
            </w:r>
          </w:p>
        </w:tc>
      </w:tr>
      <w:tr w:rsidR="00AC6629" w:rsidRPr="007C4A29" w:rsidTr="00F80364">
        <w:tc>
          <w:tcPr>
            <w:tcW w:w="5865" w:type="dxa"/>
            <w:vAlign w:val="bottom"/>
          </w:tcPr>
          <w:p w:rsidR="00AC6629" w:rsidRPr="007C4A29" w:rsidRDefault="00AC6629" w:rsidP="00F80364">
            <w:pPr>
              <w:ind w:left="270" w:hanging="270"/>
            </w:pPr>
            <w:r w:rsidRPr="007C4A29">
              <w:t>Public Service Administrator, Option 7 (criminal intelligence analyst supervisor, strategic management policy administrator, firearms specialist, computer evidence recovery specialist, and narcotics and currency unit supervisor non-sworn functions at State Police, statewide enforcement function at Financial and Professional Regulation, and superintendent, operations center supervisor and training academy supervisor functions at Corrections)</w:t>
            </w:r>
          </w:p>
        </w:tc>
        <w:tc>
          <w:tcPr>
            <w:tcW w:w="1170" w:type="dxa"/>
            <w:vAlign w:val="bottom"/>
          </w:tcPr>
          <w:p w:rsidR="00AC6629" w:rsidRPr="007C4A29" w:rsidRDefault="00AC6629" w:rsidP="00F80364">
            <w:pPr>
              <w:jc w:val="center"/>
            </w:pPr>
            <w:r w:rsidRPr="007C4A29">
              <w:t>37015</w:t>
            </w:r>
          </w:p>
        </w:tc>
        <w:tc>
          <w:tcPr>
            <w:tcW w:w="1530" w:type="dxa"/>
            <w:vAlign w:val="bottom"/>
          </w:tcPr>
          <w:p w:rsidR="00AC6629" w:rsidRPr="007C4A29" w:rsidRDefault="00AC6629" w:rsidP="00F80364">
            <w:pPr>
              <w:jc w:val="center"/>
            </w:pPr>
            <w:r w:rsidRPr="007C4A29">
              <w:t>VR-704</w:t>
            </w:r>
          </w:p>
        </w:tc>
        <w:tc>
          <w:tcPr>
            <w:tcW w:w="900" w:type="dxa"/>
            <w:vAlign w:val="bottom"/>
          </w:tcPr>
          <w:p w:rsidR="00AC6629" w:rsidRPr="007C4A29" w:rsidRDefault="00AC6629" w:rsidP="00F80364">
            <w:pPr>
              <w:jc w:val="center"/>
            </w:pPr>
            <w:r w:rsidRPr="007C4A29">
              <w:t>25</w:t>
            </w:r>
          </w:p>
        </w:tc>
      </w:tr>
      <w:tr w:rsidR="00AC6629" w:rsidRPr="007C4A29" w:rsidTr="00F80364">
        <w:tc>
          <w:tcPr>
            <w:tcW w:w="5865" w:type="dxa"/>
            <w:vAlign w:val="bottom"/>
          </w:tcPr>
          <w:p w:rsidR="00AC6629" w:rsidRPr="007C4A29" w:rsidRDefault="00AC6629" w:rsidP="00F80364">
            <w:pPr>
              <w:ind w:left="270" w:hanging="270"/>
            </w:pPr>
            <w:r w:rsidRPr="007C4A29">
              <w:t>Public Service Administrator, Option 7 (inspector sworn and sex offender registry supervisor non-sworn functions at State Police)</w:t>
            </w:r>
          </w:p>
        </w:tc>
        <w:tc>
          <w:tcPr>
            <w:tcW w:w="1170" w:type="dxa"/>
            <w:vAlign w:val="bottom"/>
          </w:tcPr>
          <w:p w:rsidR="00AC6629" w:rsidRPr="007C4A29" w:rsidRDefault="00AC6629" w:rsidP="00F80364">
            <w:pPr>
              <w:jc w:val="center"/>
            </w:pPr>
            <w:r w:rsidRPr="007C4A29">
              <w:t>37015</w:t>
            </w:r>
          </w:p>
        </w:tc>
        <w:tc>
          <w:tcPr>
            <w:tcW w:w="1530" w:type="dxa"/>
            <w:vAlign w:val="bottom"/>
          </w:tcPr>
          <w:p w:rsidR="00AC6629" w:rsidRPr="007C4A29" w:rsidRDefault="00AC6629" w:rsidP="00F80364">
            <w:pPr>
              <w:jc w:val="center"/>
            </w:pPr>
            <w:r w:rsidRPr="007C4A29">
              <w:t>VR-704</w:t>
            </w:r>
          </w:p>
        </w:tc>
        <w:tc>
          <w:tcPr>
            <w:tcW w:w="900" w:type="dxa"/>
            <w:vAlign w:val="bottom"/>
          </w:tcPr>
          <w:p w:rsidR="00AC6629" w:rsidRPr="007C4A29" w:rsidRDefault="00AC6629" w:rsidP="00F80364">
            <w:pPr>
              <w:jc w:val="center"/>
            </w:pPr>
            <w:r w:rsidRPr="007C4A29">
              <w:t>26</w:t>
            </w:r>
          </w:p>
        </w:tc>
      </w:tr>
      <w:tr w:rsidR="00AC6629" w:rsidRPr="007C4A29" w:rsidTr="00F80364">
        <w:tc>
          <w:tcPr>
            <w:tcW w:w="5865" w:type="dxa"/>
            <w:vAlign w:val="bottom"/>
          </w:tcPr>
          <w:p w:rsidR="00AC6629" w:rsidRPr="007C4A29" w:rsidRDefault="00AC6629" w:rsidP="00F80364">
            <w:pPr>
              <w:ind w:left="270" w:hanging="270"/>
            </w:pPr>
            <w:r w:rsidRPr="007C4A29">
              <w:t>Public Service Administrator, Options 7 (women and family services coordinator, district supervisor, staff assistant and deputy commander of intelligence functions at Corrections and investigator function at Human Services in the Office of the Inspector General), 8L (at Corrections</w:t>
            </w:r>
            <w:r>
              <w:t xml:space="preserve"> and Illinois State Police</w:t>
            </w:r>
            <w:r w:rsidRPr="007C4A29">
              <w:t>) and 8J (dietary manager function at Corrections)</w:t>
            </w:r>
          </w:p>
        </w:tc>
        <w:tc>
          <w:tcPr>
            <w:tcW w:w="1170" w:type="dxa"/>
            <w:vAlign w:val="bottom"/>
          </w:tcPr>
          <w:p w:rsidR="00AC6629" w:rsidRPr="007C4A29" w:rsidRDefault="00AC6629" w:rsidP="00F80364">
            <w:pPr>
              <w:jc w:val="center"/>
            </w:pPr>
            <w:r w:rsidRPr="007C4A29">
              <w:t>37015</w:t>
            </w:r>
          </w:p>
        </w:tc>
        <w:tc>
          <w:tcPr>
            <w:tcW w:w="1530" w:type="dxa"/>
            <w:vAlign w:val="bottom"/>
          </w:tcPr>
          <w:p w:rsidR="00AC6629" w:rsidRPr="007C4A29" w:rsidRDefault="00AC6629" w:rsidP="00F80364">
            <w:pPr>
              <w:jc w:val="center"/>
            </w:pPr>
            <w:r w:rsidRPr="007C4A29">
              <w:t>VR-704</w:t>
            </w:r>
          </w:p>
        </w:tc>
        <w:tc>
          <w:tcPr>
            <w:tcW w:w="900" w:type="dxa"/>
            <w:vAlign w:val="bottom"/>
          </w:tcPr>
          <w:p w:rsidR="00AC6629" w:rsidRPr="007C4A29" w:rsidRDefault="00AC6629" w:rsidP="00F80364">
            <w:pPr>
              <w:jc w:val="center"/>
            </w:pPr>
            <w:r w:rsidRPr="007C4A29">
              <w:t>24</w:t>
            </w:r>
          </w:p>
        </w:tc>
      </w:tr>
      <w:tr w:rsidR="00AC6629" w:rsidRPr="007C4A29" w:rsidTr="00F80364">
        <w:tc>
          <w:tcPr>
            <w:tcW w:w="5865" w:type="dxa"/>
            <w:vAlign w:val="bottom"/>
          </w:tcPr>
          <w:p w:rsidR="00AC6629" w:rsidRPr="007C4A29" w:rsidRDefault="00AC6629" w:rsidP="00F80364">
            <w:pPr>
              <w:ind w:left="270" w:hanging="270"/>
            </w:pPr>
            <w:r>
              <w:t xml:space="preserve">Senior </w:t>
            </w:r>
            <w:r w:rsidRPr="00285E00">
              <w:t>Publi</w:t>
            </w:r>
            <w:r>
              <w:t>c Service Administrator, Option</w:t>
            </w:r>
            <w:r w:rsidRPr="00285E00">
              <w:t xml:space="preserve"> 7</w:t>
            </w:r>
            <w:r>
              <w:t xml:space="preserve"> (research and development unit chief function at Illinois State Police)</w:t>
            </w:r>
          </w:p>
        </w:tc>
        <w:tc>
          <w:tcPr>
            <w:tcW w:w="1170" w:type="dxa"/>
            <w:vAlign w:val="bottom"/>
          </w:tcPr>
          <w:p w:rsidR="00AC6629" w:rsidRPr="007C4A29" w:rsidRDefault="00AC6629" w:rsidP="00F80364">
            <w:pPr>
              <w:jc w:val="center"/>
            </w:pPr>
            <w:r>
              <w:t>40070</w:t>
            </w:r>
          </w:p>
        </w:tc>
        <w:tc>
          <w:tcPr>
            <w:tcW w:w="1530" w:type="dxa"/>
            <w:vAlign w:val="bottom"/>
          </w:tcPr>
          <w:p w:rsidR="00AC6629" w:rsidRPr="007C4A29" w:rsidRDefault="00AC6629" w:rsidP="00F80364">
            <w:pPr>
              <w:jc w:val="center"/>
            </w:pPr>
            <w:r w:rsidRPr="00285E00">
              <w:t>VR-704</w:t>
            </w:r>
          </w:p>
        </w:tc>
        <w:tc>
          <w:tcPr>
            <w:tcW w:w="900" w:type="dxa"/>
            <w:vAlign w:val="bottom"/>
          </w:tcPr>
          <w:p w:rsidR="00AC6629" w:rsidRPr="007C4A29" w:rsidRDefault="00AC6629" w:rsidP="00F80364">
            <w:pPr>
              <w:jc w:val="center"/>
            </w:pPr>
            <w:r w:rsidRPr="00285E00">
              <w:t>24</w:t>
            </w:r>
          </w:p>
        </w:tc>
      </w:tr>
      <w:tr w:rsidR="00AC6629" w:rsidRPr="007C4A29" w:rsidTr="00F80364">
        <w:tc>
          <w:tcPr>
            <w:tcW w:w="5865" w:type="dxa"/>
            <w:vAlign w:val="bottom"/>
          </w:tcPr>
          <w:p w:rsidR="00AC6629" w:rsidRDefault="00AC6629" w:rsidP="00F80364">
            <w:pPr>
              <w:ind w:left="270" w:hanging="270"/>
            </w:pPr>
            <w:r>
              <w:t xml:space="preserve">Senior </w:t>
            </w:r>
            <w:r w:rsidRPr="00285E00">
              <w:t>Publi</w:t>
            </w:r>
            <w:r>
              <w:t>c Service Administrator, Option</w:t>
            </w:r>
            <w:r w:rsidRPr="00285E00">
              <w:t xml:space="preserve"> 7</w:t>
            </w:r>
            <w:r>
              <w:t xml:space="preserve"> (protected services unit operations commander and senior terrorism advisor functions at Illinois State Police)</w:t>
            </w:r>
          </w:p>
        </w:tc>
        <w:tc>
          <w:tcPr>
            <w:tcW w:w="1170" w:type="dxa"/>
            <w:vAlign w:val="bottom"/>
          </w:tcPr>
          <w:p w:rsidR="00AC6629" w:rsidRDefault="00AC6629" w:rsidP="00F80364">
            <w:pPr>
              <w:jc w:val="center"/>
            </w:pPr>
            <w:r>
              <w:t>40070</w:t>
            </w:r>
          </w:p>
        </w:tc>
        <w:tc>
          <w:tcPr>
            <w:tcW w:w="1530" w:type="dxa"/>
            <w:vAlign w:val="bottom"/>
          </w:tcPr>
          <w:p w:rsidR="00AC6629" w:rsidRPr="00285E00" w:rsidRDefault="00AC6629" w:rsidP="00F80364">
            <w:pPr>
              <w:jc w:val="center"/>
            </w:pPr>
            <w:r w:rsidRPr="00285E00">
              <w:t>VR-704</w:t>
            </w:r>
          </w:p>
        </w:tc>
        <w:tc>
          <w:tcPr>
            <w:tcW w:w="900" w:type="dxa"/>
            <w:vAlign w:val="bottom"/>
          </w:tcPr>
          <w:p w:rsidR="00AC6629" w:rsidRPr="00285E00" w:rsidRDefault="00AC6629" w:rsidP="00F80364">
            <w:pPr>
              <w:jc w:val="center"/>
            </w:pPr>
            <w:r w:rsidRPr="00285E00">
              <w:t>2</w:t>
            </w:r>
            <w:r>
              <w:t>5</w:t>
            </w:r>
          </w:p>
        </w:tc>
      </w:tr>
      <w:tr w:rsidR="00AC6629" w:rsidRPr="007C4A29" w:rsidTr="00F80364">
        <w:tc>
          <w:tcPr>
            <w:tcW w:w="5865" w:type="dxa"/>
            <w:vAlign w:val="bottom"/>
          </w:tcPr>
          <w:p w:rsidR="00AC6629" w:rsidRDefault="00AC6629" w:rsidP="00F80364">
            <w:pPr>
              <w:ind w:left="270" w:hanging="270"/>
            </w:pPr>
            <w:r>
              <w:t xml:space="preserve">Senior </w:t>
            </w:r>
            <w:r w:rsidRPr="00285E00">
              <w:t>Publi</w:t>
            </w:r>
            <w:r>
              <w:t>c Service Administrator, Option</w:t>
            </w:r>
            <w:r w:rsidRPr="00285E00">
              <w:t xml:space="preserve"> 7</w:t>
            </w:r>
            <w:r>
              <w:t xml:space="preserve"> (assistant director of forensic science training, quality assurance and safety director and section chief functions at Illinois State Police)</w:t>
            </w:r>
          </w:p>
        </w:tc>
        <w:tc>
          <w:tcPr>
            <w:tcW w:w="1170" w:type="dxa"/>
            <w:vAlign w:val="bottom"/>
          </w:tcPr>
          <w:p w:rsidR="00AC6629" w:rsidRDefault="00AC6629" w:rsidP="00F80364">
            <w:pPr>
              <w:jc w:val="center"/>
            </w:pPr>
            <w:r>
              <w:t>40070</w:t>
            </w:r>
          </w:p>
        </w:tc>
        <w:tc>
          <w:tcPr>
            <w:tcW w:w="1530" w:type="dxa"/>
            <w:vAlign w:val="bottom"/>
          </w:tcPr>
          <w:p w:rsidR="00AC6629" w:rsidRPr="00285E00" w:rsidRDefault="00AC6629" w:rsidP="00F80364">
            <w:pPr>
              <w:jc w:val="center"/>
            </w:pPr>
            <w:r w:rsidRPr="00285E00">
              <w:t>VR-704</w:t>
            </w:r>
          </w:p>
        </w:tc>
        <w:tc>
          <w:tcPr>
            <w:tcW w:w="900" w:type="dxa"/>
            <w:vAlign w:val="bottom"/>
          </w:tcPr>
          <w:p w:rsidR="00AC6629" w:rsidRPr="00285E00" w:rsidRDefault="00AC6629" w:rsidP="00F80364">
            <w:pPr>
              <w:jc w:val="center"/>
            </w:pPr>
            <w:r w:rsidRPr="00285E00">
              <w:t>2</w:t>
            </w:r>
            <w:r>
              <w:t>6</w:t>
            </w:r>
          </w:p>
        </w:tc>
      </w:tr>
      <w:tr w:rsidR="00AC6629" w:rsidRPr="007C4A29" w:rsidTr="00F80364">
        <w:tc>
          <w:tcPr>
            <w:tcW w:w="5865" w:type="dxa"/>
            <w:vAlign w:val="bottom"/>
          </w:tcPr>
          <w:p w:rsidR="00AC6629" w:rsidRDefault="00AC6629" w:rsidP="00F80364">
            <w:pPr>
              <w:ind w:left="270" w:hanging="270"/>
            </w:pPr>
            <w:r>
              <w:t xml:space="preserve">Senior </w:t>
            </w:r>
            <w:r w:rsidRPr="00285E00">
              <w:t>Publi</w:t>
            </w:r>
            <w:r>
              <w:t>c Service Administrator, Option</w:t>
            </w:r>
            <w:r w:rsidRPr="00285E00">
              <w:t xml:space="preserve"> 7</w:t>
            </w:r>
            <w:r>
              <w:t xml:space="preserve"> (deputy laboratory director function at Illinois State Police)</w:t>
            </w:r>
          </w:p>
        </w:tc>
        <w:tc>
          <w:tcPr>
            <w:tcW w:w="1170" w:type="dxa"/>
            <w:vAlign w:val="bottom"/>
          </w:tcPr>
          <w:p w:rsidR="00AC6629" w:rsidRDefault="00AC6629" w:rsidP="00F80364">
            <w:pPr>
              <w:jc w:val="center"/>
            </w:pPr>
            <w:r>
              <w:t>40070</w:t>
            </w:r>
          </w:p>
        </w:tc>
        <w:tc>
          <w:tcPr>
            <w:tcW w:w="1530" w:type="dxa"/>
            <w:vAlign w:val="bottom"/>
          </w:tcPr>
          <w:p w:rsidR="00AC6629" w:rsidRPr="00285E00" w:rsidRDefault="00AC6629" w:rsidP="00F80364">
            <w:pPr>
              <w:jc w:val="center"/>
            </w:pPr>
            <w:r w:rsidRPr="00285E00">
              <w:t>VR-704</w:t>
            </w:r>
          </w:p>
        </w:tc>
        <w:tc>
          <w:tcPr>
            <w:tcW w:w="900" w:type="dxa"/>
            <w:vAlign w:val="bottom"/>
          </w:tcPr>
          <w:p w:rsidR="00AC6629" w:rsidRPr="00285E00" w:rsidRDefault="00AC6629" w:rsidP="00F80364">
            <w:pPr>
              <w:jc w:val="center"/>
            </w:pPr>
            <w:r w:rsidRPr="00285E00">
              <w:t>2</w:t>
            </w:r>
            <w:r>
              <w:t>7</w:t>
            </w:r>
          </w:p>
        </w:tc>
      </w:tr>
      <w:tr w:rsidR="00AC6629" w:rsidRPr="007C4A29" w:rsidTr="00F80364">
        <w:tc>
          <w:tcPr>
            <w:tcW w:w="5865" w:type="dxa"/>
            <w:vAlign w:val="bottom"/>
          </w:tcPr>
          <w:p w:rsidR="00AC6629" w:rsidRPr="007C4A29" w:rsidRDefault="00AC6629" w:rsidP="00F80364">
            <w:pPr>
              <w:ind w:left="270" w:hanging="270"/>
            </w:pPr>
            <w:r w:rsidRPr="007C4A29">
              <w:t>Shift Supervisor</w:t>
            </w:r>
          </w:p>
        </w:tc>
        <w:tc>
          <w:tcPr>
            <w:tcW w:w="1170" w:type="dxa"/>
            <w:vAlign w:val="bottom"/>
          </w:tcPr>
          <w:p w:rsidR="00AC6629" w:rsidRPr="007C4A29" w:rsidRDefault="00AC6629" w:rsidP="00F80364">
            <w:pPr>
              <w:jc w:val="center"/>
            </w:pPr>
            <w:r w:rsidRPr="007C4A29">
              <w:t>40800</w:t>
            </w:r>
          </w:p>
        </w:tc>
        <w:tc>
          <w:tcPr>
            <w:tcW w:w="1530" w:type="dxa"/>
            <w:vAlign w:val="bottom"/>
          </w:tcPr>
          <w:p w:rsidR="00AC6629" w:rsidRPr="007C4A29" w:rsidRDefault="00AC6629" w:rsidP="00F80364">
            <w:pPr>
              <w:jc w:val="center"/>
            </w:pPr>
            <w:r w:rsidRPr="007C4A29">
              <w:t>VR-704</w:t>
            </w:r>
          </w:p>
        </w:tc>
        <w:tc>
          <w:tcPr>
            <w:tcW w:w="900" w:type="dxa"/>
            <w:vAlign w:val="bottom"/>
          </w:tcPr>
          <w:p w:rsidR="00AC6629" w:rsidRPr="007C4A29" w:rsidRDefault="00AC6629" w:rsidP="00F80364">
            <w:pPr>
              <w:jc w:val="center"/>
            </w:pPr>
            <w:r w:rsidRPr="007C4A29">
              <w:t>24</w:t>
            </w:r>
          </w:p>
        </w:tc>
      </w:tr>
    </w:tbl>
    <w:p w:rsidR="00AC6629" w:rsidRPr="007C4A29" w:rsidRDefault="00AC6629" w:rsidP="00AC6629">
      <w:pPr>
        <w:ind w:left="720" w:hanging="720"/>
        <w:rPr>
          <w:bCs/>
        </w:rPr>
      </w:pPr>
    </w:p>
    <w:p w:rsidR="00AC6629" w:rsidRPr="007C4A29" w:rsidRDefault="00AC6629" w:rsidP="00AC6629">
      <w:pPr>
        <w:ind w:left="918" w:hanging="918"/>
        <w:rPr>
          <w:bCs/>
        </w:rPr>
      </w:pPr>
      <w:r w:rsidRPr="007C4A29">
        <w:rPr>
          <w:bCs/>
        </w:rPr>
        <w:lastRenderedPageBreak/>
        <w:t>NOTE:</w:t>
      </w:r>
      <w:r>
        <w:rPr>
          <w:bCs/>
        </w:rPr>
        <w:tab/>
      </w:r>
      <w:r w:rsidRPr="007C4A29">
        <w:rPr>
          <w:bCs/>
        </w:rPr>
        <w:t xml:space="preserve">The positions allocated to the Public Service Administrator title that are assigned to the frozen negotiated VR-704 pay grade have the following </w:t>
      </w:r>
      <w:r>
        <w:rPr>
          <w:bCs/>
        </w:rPr>
        <w:t>o</w:t>
      </w:r>
      <w:r w:rsidRPr="007C4A29">
        <w:rPr>
          <w:bCs/>
        </w:rPr>
        <w:t>ptions: 7; 8L</w:t>
      </w:r>
      <w:r>
        <w:rPr>
          <w:bCs/>
        </w:rPr>
        <w:t>;</w:t>
      </w:r>
      <w:r w:rsidRPr="007C4A29">
        <w:rPr>
          <w:bCs/>
        </w:rPr>
        <w:t xml:space="preserve"> and 8J.  </w:t>
      </w:r>
      <w:r w:rsidRPr="00285E00">
        <w:rPr>
          <w:bCs/>
        </w:rPr>
        <w:t xml:space="preserve">The positions allocated to the </w:t>
      </w:r>
      <w:r>
        <w:rPr>
          <w:bCs/>
        </w:rPr>
        <w:t xml:space="preserve">Senior </w:t>
      </w:r>
      <w:r w:rsidRPr="00285E00">
        <w:rPr>
          <w:bCs/>
        </w:rPr>
        <w:t xml:space="preserve">Public Service Administrator title that are assigned to </w:t>
      </w:r>
      <w:r>
        <w:rPr>
          <w:bCs/>
        </w:rPr>
        <w:t>a</w:t>
      </w:r>
      <w:r w:rsidRPr="00285E00">
        <w:rPr>
          <w:bCs/>
        </w:rPr>
        <w:t xml:space="preserve"> negotiated VR-704 pay grade have the </w:t>
      </w:r>
      <w:r w:rsidR="00C60BA9">
        <w:rPr>
          <w:bCs/>
        </w:rPr>
        <w:t>O</w:t>
      </w:r>
      <w:r>
        <w:rPr>
          <w:bCs/>
        </w:rPr>
        <w:t>ption 7</w:t>
      </w:r>
      <w:r w:rsidRPr="00285E00">
        <w:rPr>
          <w:bCs/>
        </w:rPr>
        <w:t>.</w:t>
      </w:r>
      <w:r>
        <w:rPr>
          <w:bCs/>
        </w:rPr>
        <w:t xml:space="preserve">  </w:t>
      </w:r>
      <w:r w:rsidRPr="007C4A29">
        <w:rPr>
          <w:bCs/>
        </w:rPr>
        <w:t>See the definition of option in Section 310.50.</w:t>
      </w:r>
    </w:p>
    <w:p w:rsidR="00AC6629" w:rsidRPr="000C49D3" w:rsidRDefault="00AC6629" w:rsidP="00AC6629">
      <w:pPr>
        <w:rPr>
          <w:b/>
        </w:rPr>
      </w:pPr>
    </w:p>
    <w:p w:rsidR="00AC6629" w:rsidRPr="000C49D3" w:rsidRDefault="00AC6629" w:rsidP="00AC6629">
      <w:pPr>
        <w:jc w:val="center"/>
        <w:rPr>
          <w:b/>
        </w:rPr>
      </w:pPr>
    </w:p>
    <w:p w:rsidR="00AC6629" w:rsidRPr="007C4A29" w:rsidRDefault="00AC6629" w:rsidP="00AC6629">
      <w:pPr>
        <w:jc w:val="center"/>
        <w:rPr>
          <w:b/>
          <w:sz w:val="28"/>
          <w:szCs w:val="28"/>
        </w:rPr>
      </w:pPr>
      <w:r w:rsidRPr="007C4A29">
        <w:rPr>
          <w:b/>
          <w:sz w:val="28"/>
          <w:szCs w:val="28"/>
        </w:rPr>
        <w:t>Effective July 1, 2011</w:t>
      </w:r>
    </w:p>
    <w:p w:rsidR="00AC6629" w:rsidRDefault="00AC6629" w:rsidP="00AC6629">
      <w:pPr>
        <w:jc w:val="center"/>
        <w:rPr>
          <w:b/>
          <w:sz w:val="28"/>
          <w:szCs w:val="28"/>
        </w:rPr>
      </w:pPr>
      <w:r w:rsidRPr="007C4A29">
        <w:rPr>
          <w:b/>
          <w:sz w:val="28"/>
          <w:szCs w:val="28"/>
        </w:rPr>
        <w:t>Bargaining Unit:  VR-704</w:t>
      </w:r>
    </w:p>
    <w:p w:rsidR="00AC6629" w:rsidRPr="000C49D3" w:rsidRDefault="00AC6629" w:rsidP="00AC6629">
      <w:pPr>
        <w:jc w:val="center"/>
        <w:rPr>
          <w:b/>
        </w:rPr>
      </w:pPr>
    </w:p>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AC6629" w:rsidRPr="00B8467E" w:rsidTr="00F80364">
        <w:trPr>
          <w:trHeight w:val="519"/>
        </w:trPr>
        <w:tc>
          <w:tcPr>
            <w:tcW w:w="960" w:type="dxa"/>
            <w:vMerge w:val="restart"/>
            <w:tcBorders>
              <w:top w:val="nil"/>
              <w:left w:val="nil"/>
              <w:bottom w:val="nil"/>
              <w:right w:val="nil"/>
            </w:tcBorders>
            <w:shd w:val="clear" w:color="auto" w:fill="auto"/>
            <w:vAlign w:val="bottom"/>
          </w:tcPr>
          <w:p w:rsidR="00AC6629" w:rsidRPr="00B8467E" w:rsidRDefault="00AC6629" w:rsidP="00F80364">
            <w:pPr>
              <w:jc w:val="center"/>
              <w:rPr>
                <w:b/>
                <w:bCs/>
                <w:color w:val="000000"/>
                <w:sz w:val="22"/>
                <w:szCs w:val="22"/>
              </w:rPr>
            </w:pPr>
            <w:r w:rsidRPr="00B8467E">
              <w:rPr>
                <w:b/>
                <w:bCs/>
                <w:color w:val="000000"/>
                <w:sz w:val="22"/>
                <w:szCs w:val="22"/>
              </w:rPr>
              <w:t>Pay Grade</w:t>
            </w:r>
          </w:p>
        </w:tc>
        <w:tc>
          <w:tcPr>
            <w:tcW w:w="960" w:type="dxa"/>
            <w:vMerge w:val="restart"/>
            <w:tcBorders>
              <w:top w:val="nil"/>
              <w:left w:val="nil"/>
              <w:bottom w:val="nil"/>
              <w:right w:val="nil"/>
            </w:tcBorders>
            <w:shd w:val="clear" w:color="auto" w:fill="auto"/>
            <w:vAlign w:val="bottom"/>
          </w:tcPr>
          <w:p w:rsidR="00AC6629" w:rsidRPr="00B8467E" w:rsidRDefault="00AC6629" w:rsidP="00F80364">
            <w:pPr>
              <w:jc w:val="center"/>
              <w:rPr>
                <w:b/>
                <w:bCs/>
                <w:color w:val="000000"/>
                <w:sz w:val="22"/>
                <w:szCs w:val="22"/>
              </w:rPr>
            </w:pPr>
            <w:r w:rsidRPr="00B8467E">
              <w:rPr>
                <w:b/>
                <w:bCs/>
                <w:snapToGrid w:val="0"/>
                <w:color w:val="000000"/>
                <w:sz w:val="22"/>
                <w:szCs w:val="22"/>
              </w:rPr>
              <w:t>Pay Plan Code</w:t>
            </w:r>
          </w:p>
        </w:tc>
        <w:tc>
          <w:tcPr>
            <w:tcW w:w="7680" w:type="dxa"/>
            <w:gridSpan w:val="8"/>
            <w:tcBorders>
              <w:top w:val="nil"/>
              <w:left w:val="nil"/>
              <w:bottom w:val="nil"/>
              <w:right w:val="nil"/>
            </w:tcBorders>
            <w:shd w:val="clear" w:color="auto" w:fill="auto"/>
            <w:noWrap/>
            <w:vAlign w:val="bottom"/>
          </w:tcPr>
          <w:p w:rsidR="00AC6629" w:rsidRPr="00B8467E" w:rsidRDefault="00AC6629" w:rsidP="00F80364">
            <w:pPr>
              <w:jc w:val="center"/>
              <w:rPr>
                <w:b/>
                <w:bCs/>
                <w:color w:val="000000"/>
                <w:sz w:val="22"/>
                <w:szCs w:val="22"/>
              </w:rPr>
            </w:pPr>
            <w:r w:rsidRPr="00B8467E">
              <w:rPr>
                <w:b/>
                <w:bCs/>
                <w:color w:val="000000"/>
                <w:sz w:val="22"/>
                <w:szCs w:val="22"/>
              </w:rPr>
              <w:t>S T E P S</w:t>
            </w:r>
          </w:p>
        </w:tc>
      </w:tr>
      <w:tr w:rsidR="00AC6629" w:rsidRPr="00B8467E" w:rsidTr="00F80364">
        <w:trPr>
          <w:trHeight w:val="234"/>
        </w:trPr>
        <w:tc>
          <w:tcPr>
            <w:tcW w:w="960" w:type="dxa"/>
            <w:vMerge/>
            <w:tcBorders>
              <w:top w:val="nil"/>
              <w:left w:val="nil"/>
              <w:bottom w:val="nil"/>
              <w:right w:val="nil"/>
            </w:tcBorders>
            <w:vAlign w:val="center"/>
          </w:tcPr>
          <w:p w:rsidR="00AC6629" w:rsidRPr="00B8467E" w:rsidRDefault="00AC6629" w:rsidP="00F80364">
            <w:pPr>
              <w:rPr>
                <w:b/>
                <w:bCs/>
                <w:color w:val="000000"/>
                <w:sz w:val="22"/>
                <w:szCs w:val="22"/>
              </w:rPr>
            </w:pPr>
          </w:p>
        </w:tc>
        <w:tc>
          <w:tcPr>
            <w:tcW w:w="960" w:type="dxa"/>
            <w:vMerge/>
            <w:tcBorders>
              <w:top w:val="nil"/>
              <w:left w:val="nil"/>
              <w:bottom w:val="nil"/>
              <w:right w:val="nil"/>
            </w:tcBorders>
            <w:vAlign w:val="center"/>
          </w:tcPr>
          <w:p w:rsidR="00AC6629" w:rsidRPr="00B8467E" w:rsidRDefault="00AC6629" w:rsidP="00F80364">
            <w:pPr>
              <w:rPr>
                <w:b/>
                <w:bCs/>
                <w:color w:val="000000"/>
                <w:sz w:val="22"/>
                <w:szCs w:val="22"/>
              </w:rPr>
            </w:pPr>
          </w:p>
        </w:tc>
        <w:tc>
          <w:tcPr>
            <w:tcW w:w="960" w:type="dxa"/>
            <w:tcBorders>
              <w:top w:val="nil"/>
              <w:left w:val="nil"/>
              <w:bottom w:val="nil"/>
              <w:right w:val="nil"/>
            </w:tcBorders>
            <w:shd w:val="clear" w:color="auto" w:fill="auto"/>
            <w:vAlign w:val="bottom"/>
          </w:tcPr>
          <w:p w:rsidR="00AC6629" w:rsidRPr="00B8467E" w:rsidRDefault="00AC6629" w:rsidP="00F80364">
            <w:pPr>
              <w:jc w:val="center"/>
              <w:rPr>
                <w:b/>
                <w:bCs/>
                <w:color w:val="000000"/>
                <w:sz w:val="22"/>
                <w:szCs w:val="22"/>
              </w:rPr>
            </w:pPr>
            <w:r w:rsidRPr="00B8467E">
              <w:rPr>
                <w:b/>
                <w:bCs/>
                <w:snapToGrid w:val="0"/>
                <w:color w:val="000000"/>
                <w:sz w:val="22"/>
                <w:szCs w:val="22"/>
              </w:rPr>
              <w:t>1</w:t>
            </w:r>
          </w:p>
        </w:tc>
        <w:tc>
          <w:tcPr>
            <w:tcW w:w="960" w:type="dxa"/>
            <w:tcBorders>
              <w:top w:val="nil"/>
              <w:left w:val="nil"/>
              <w:bottom w:val="nil"/>
              <w:right w:val="nil"/>
            </w:tcBorders>
            <w:shd w:val="clear" w:color="auto" w:fill="auto"/>
            <w:vAlign w:val="bottom"/>
          </w:tcPr>
          <w:p w:rsidR="00AC6629" w:rsidRPr="00B8467E" w:rsidRDefault="00AC6629" w:rsidP="00F80364">
            <w:pPr>
              <w:jc w:val="center"/>
              <w:rPr>
                <w:b/>
                <w:bCs/>
                <w:color w:val="000000"/>
                <w:sz w:val="22"/>
                <w:szCs w:val="22"/>
              </w:rPr>
            </w:pPr>
            <w:r w:rsidRPr="00B8467E">
              <w:rPr>
                <w:b/>
                <w:bCs/>
                <w:snapToGrid w:val="0"/>
                <w:color w:val="000000"/>
                <w:sz w:val="22"/>
                <w:szCs w:val="22"/>
              </w:rPr>
              <w:t>2</w:t>
            </w:r>
          </w:p>
        </w:tc>
        <w:tc>
          <w:tcPr>
            <w:tcW w:w="960" w:type="dxa"/>
            <w:tcBorders>
              <w:top w:val="nil"/>
              <w:left w:val="nil"/>
              <w:bottom w:val="nil"/>
              <w:right w:val="nil"/>
            </w:tcBorders>
            <w:shd w:val="clear" w:color="auto" w:fill="auto"/>
            <w:vAlign w:val="bottom"/>
          </w:tcPr>
          <w:p w:rsidR="00AC6629" w:rsidRPr="00B8467E" w:rsidRDefault="00AC6629" w:rsidP="00F80364">
            <w:pPr>
              <w:jc w:val="center"/>
              <w:rPr>
                <w:b/>
                <w:bCs/>
                <w:color w:val="000000"/>
                <w:sz w:val="22"/>
                <w:szCs w:val="22"/>
              </w:rPr>
            </w:pPr>
            <w:r w:rsidRPr="00B8467E">
              <w:rPr>
                <w:b/>
                <w:bCs/>
                <w:snapToGrid w:val="0"/>
                <w:color w:val="000000"/>
                <w:sz w:val="22"/>
                <w:szCs w:val="22"/>
              </w:rPr>
              <w:t>3</w:t>
            </w:r>
          </w:p>
        </w:tc>
        <w:tc>
          <w:tcPr>
            <w:tcW w:w="960" w:type="dxa"/>
            <w:tcBorders>
              <w:top w:val="nil"/>
              <w:left w:val="nil"/>
              <w:bottom w:val="nil"/>
              <w:right w:val="nil"/>
            </w:tcBorders>
            <w:shd w:val="clear" w:color="auto" w:fill="auto"/>
            <w:vAlign w:val="bottom"/>
          </w:tcPr>
          <w:p w:rsidR="00AC6629" w:rsidRPr="00B8467E" w:rsidRDefault="00AC6629" w:rsidP="00F80364">
            <w:pPr>
              <w:jc w:val="center"/>
              <w:rPr>
                <w:b/>
                <w:bCs/>
                <w:color w:val="000000"/>
                <w:sz w:val="22"/>
                <w:szCs w:val="22"/>
              </w:rPr>
            </w:pPr>
            <w:r w:rsidRPr="00B8467E">
              <w:rPr>
                <w:b/>
                <w:bCs/>
                <w:snapToGrid w:val="0"/>
                <w:color w:val="000000"/>
                <w:sz w:val="22"/>
                <w:szCs w:val="22"/>
              </w:rPr>
              <w:t>4</w:t>
            </w:r>
          </w:p>
        </w:tc>
        <w:tc>
          <w:tcPr>
            <w:tcW w:w="960" w:type="dxa"/>
            <w:tcBorders>
              <w:top w:val="nil"/>
              <w:left w:val="nil"/>
              <w:bottom w:val="nil"/>
              <w:right w:val="nil"/>
            </w:tcBorders>
            <w:shd w:val="clear" w:color="auto" w:fill="auto"/>
            <w:vAlign w:val="bottom"/>
          </w:tcPr>
          <w:p w:rsidR="00AC6629" w:rsidRPr="00B8467E" w:rsidRDefault="00AC6629" w:rsidP="00F80364">
            <w:pPr>
              <w:jc w:val="center"/>
              <w:rPr>
                <w:b/>
                <w:bCs/>
                <w:color w:val="000000"/>
                <w:sz w:val="22"/>
                <w:szCs w:val="22"/>
              </w:rPr>
            </w:pPr>
            <w:r w:rsidRPr="00B8467E">
              <w:rPr>
                <w:b/>
                <w:bCs/>
                <w:snapToGrid w:val="0"/>
                <w:color w:val="000000"/>
                <w:sz w:val="22"/>
                <w:szCs w:val="22"/>
              </w:rPr>
              <w:t>5</w:t>
            </w:r>
          </w:p>
        </w:tc>
        <w:tc>
          <w:tcPr>
            <w:tcW w:w="960" w:type="dxa"/>
            <w:tcBorders>
              <w:top w:val="nil"/>
              <w:left w:val="nil"/>
              <w:bottom w:val="nil"/>
              <w:right w:val="nil"/>
            </w:tcBorders>
            <w:shd w:val="clear" w:color="auto" w:fill="auto"/>
            <w:vAlign w:val="bottom"/>
          </w:tcPr>
          <w:p w:rsidR="00AC6629" w:rsidRPr="00B8467E" w:rsidRDefault="00AC6629" w:rsidP="00F80364">
            <w:pPr>
              <w:jc w:val="center"/>
              <w:rPr>
                <w:b/>
                <w:bCs/>
                <w:color w:val="000000"/>
                <w:sz w:val="22"/>
                <w:szCs w:val="22"/>
              </w:rPr>
            </w:pPr>
            <w:r w:rsidRPr="00B8467E">
              <w:rPr>
                <w:b/>
                <w:bCs/>
                <w:snapToGrid w:val="0"/>
                <w:color w:val="000000"/>
                <w:sz w:val="22"/>
                <w:szCs w:val="22"/>
              </w:rPr>
              <w:t>6</w:t>
            </w:r>
          </w:p>
        </w:tc>
        <w:tc>
          <w:tcPr>
            <w:tcW w:w="960" w:type="dxa"/>
            <w:tcBorders>
              <w:top w:val="nil"/>
              <w:left w:val="nil"/>
              <w:bottom w:val="nil"/>
              <w:right w:val="nil"/>
            </w:tcBorders>
            <w:shd w:val="clear" w:color="auto" w:fill="auto"/>
            <w:vAlign w:val="bottom"/>
          </w:tcPr>
          <w:p w:rsidR="00AC6629" w:rsidRPr="00B8467E" w:rsidRDefault="00AC6629" w:rsidP="00F80364">
            <w:pPr>
              <w:jc w:val="center"/>
              <w:rPr>
                <w:b/>
                <w:bCs/>
                <w:color w:val="000000"/>
                <w:sz w:val="22"/>
                <w:szCs w:val="22"/>
              </w:rPr>
            </w:pPr>
            <w:r w:rsidRPr="00B8467E">
              <w:rPr>
                <w:b/>
                <w:bCs/>
                <w:snapToGrid w:val="0"/>
                <w:color w:val="000000"/>
                <w:sz w:val="22"/>
                <w:szCs w:val="22"/>
              </w:rPr>
              <w:t>7</w:t>
            </w:r>
          </w:p>
        </w:tc>
        <w:tc>
          <w:tcPr>
            <w:tcW w:w="960" w:type="dxa"/>
            <w:tcBorders>
              <w:top w:val="nil"/>
              <w:left w:val="nil"/>
              <w:bottom w:val="nil"/>
              <w:right w:val="nil"/>
            </w:tcBorders>
            <w:shd w:val="clear" w:color="auto" w:fill="auto"/>
            <w:vAlign w:val="bottom"/>
          </w:tcPr>
          <w:p w:rsidR="00AC6629" w:rsidRPr="00B8467E" w:rsidRDefault="00AC6629" w:rsidP="00F80364">
            <w:pPr>
              <w:jc w:val="center"/>
              <w:rPr>
                <w:b/>
                <w:bCs/>
                <w:color w:val="000000"/>
                <w:sz w:val="22"/>
                <w:szCs w:val="22"/>
              </w:rPr>
            </w:pPr>
            <w:r w:rsidRPr="00B8467E">
              <w:rPr>
                <w:b/>
                <w:bCs/>
                <w:snapToGrid w:val="0"/>
                <w:color w:val="000000"/>
                <w:sz w:val="22"/>
                <w:szCs w:val="22"/>
              </w:rPr>
              <w:t>8</w:t>
            </w:r>
          </w:p>
        </w:tc>
      </w:tr>
      <w:tr w:rsidR="00AC6629" w:rsidRPr="007C4A29" w:rsidTr="00F80364">
        <w:trPr>
          <w:trHeight w:val="315"/>
        </w:trPr>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24</w:t>
            </w:r>
          </w:p>
        </w:tc>
        <w:tc>
          <w:tcPr>
            <w:tcW w:w="960" w:type="dxa"/>
            <w:tcBorders>
              <w:top w:val="nil"/>
              <w:left w:val="nil"/>
              <w:bottom w:val="nil"/>
              <w:right w:val="nil"/>
            </w:tcBorders>
            <w:shd w:val="clear" w:color="auto" w:fill="auto"/>
            <w:vAlign w:val="bottom"/>
          </w:tcPr>
          <w:p w:rsidR="00AC6629" w:rsidRPr="007C4A29" w:rsidRDefault="00AC6629" w:rsidP="00F80364">
            <w:pPr>
              <w:jc w:val="center"/>
              <w:rPr>
                <w:color w:val="000000"/>
              </w:rPr>
            </w:pPr>
            <w:r w:rsidRPr="007C4A29">
              <w:rPr>
                <w:color w:val="000000"/>
              </w:rPr>
              <w:t>B</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6157</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6484</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6825</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7150</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7482</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7818</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8310</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8641</w:t>
            </w:r>
          </w:p>
        </w:tc>
      </w:tr>
      <w:tr w:rsidR="00AC6629" w:rsidRPr="007C4A29" w:rsidTr="00F80364">
        <w:trPr>
          <w:trHeight w:val="315"/>
        </w:trPr>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snapToGrid w:val="0"/>
                <w:color w:val="000000"/>
              </w:rPr>
              <w:t>24</w:t>
            </w:r>
          </w:p>
        </w:tc>
        <w:tc>
          <w:tcPr>
            <w:tcW w:w="960" w:type="dxa"/>
            <w:tcBorders>
              <w:top w:val="nil"/>
              <w:left w:val="nil"/>
              <w:bottom w:val="nil"/>
              <w:right w:val="nil"/>
            </w:tcBorders>
            <w:shd w:val="clear" w:color="auto" w:fill="auto"/>
            <w:vAlign w:val="bottom"/>
          </w:tcPr>
          <w:p w:rsidR="00AC6629" w:rsidRPr="007C4A29" w:rsidRDefault="00AC6629" w:rsidP="00F80364">
            <w:pPr>
              <w:jc w:val="center"/>
              <w:rPr>
                <w:color w:val="000000"/>
              </w:rPr>
            </w:pPr>
            <w:r w:rsidRPr="007C4A29">
              <w:rPr>
                <w:color w:val="000000"/>
              </w:rPr>
              <w:t>Q</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6436</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6779</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7131</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7475</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7816</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8171</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8685</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9032</w:t>
            </w:r>
          </w:p>
        </w:tc>
      </w:tr>
      <w:tr w:rsidR="00AC6629" w:rsidRPr="007C4A29" w:rsidTr="00F80364">
        <w:trPr>
          <w:trHeight w:val="315"/>
        </w:trPr>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snapToGrid w:val="0"/>
                <w:color w:val="000000"/>
              </w:rPr>
              <w:t>24</w:t>
            </w:r>
          </w:p>
        </w:tc>
        <w:tc>
          <w:tcPr>
            <w:tcW w:w="960" w:type="dxa"/>
            <w:tcBorders>
              <w:top w:val="nil"/>
              <w:left w:val="nil"/>
              <w:bottom w:val="nil"/>
              <w:right w:val="nil"/>
            </w:tcBorders>
            <w:shd w:val="clear" w:color="auto" w:fill="auto"/>
            <w:vAlign w:val="bottom"/>
          </w:tcPr>
          <w:p w:rsidR="00AC6629" w:rsidRPr="007C4A29" w:rsidRDefault="00AC6629" w:rsidP="00F80364">
            <w:pPr>
              <w:jc w:val="center"/>
              <w:rPr>
                <w:color w:val="000000"/>
              </w:rPr>
            </w:pPr>
            <w:r w:rsidRPr="007C4A29">
              <w:rPr>
                <w:color w:val="000000"/>
              </w:rPr>
              <w:t>S</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6516</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6855</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7209</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7552</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7898</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8253</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8762</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9113</w:t>
            </w:r>
          </w:p>
        </w:tc>
      </w:tr>
      <w:tr w:rsidR="00AC6629" w:rsidRPr="007C4A29" w:rsidTr="00F80364">
        <w:trPr>
          <w:trHeight w:val="300"/>
        </w:trPr>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r>
      <w:tr w:rsidR="00AC6629" w:rsidRPr="007C4A29" w:rsidTr="00F80364">
        <w:trPr>
          <w:trHeight w:val="315"/>
        </w:trPr>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snapToGrid w:val="0"/>
                <w:color w:val="000000"/>
              </w:rPr>
              <w:t>25</w:t>
            </w:r>
          </w:p>
        </w:tc>
        <w:tc>
          <w:tcPr>
            <w:tcW w:w="960" w:type="dxa"/>
            <w:tcBorders>
              <w:top w:val="nil"/>
              <w:left w:val="nil"/>
              <w:bottom w:val="nil"/>
              <w:right w:val="nil"/>
            </w:tcBorders>
            <w:shd w:val="clear" w:color="auto" w:fill="auto"/>
            <w:vAlign w:val="bottom"/>
          </w:tcPr>
          <w:p w:rsidR="00AC6629" w:rsidRPr="007C4A29" w:rsidRDefault="00AC6629" w:rsidP="00F80364">
            <w:pPr>
              <w:jc w:val="center"/>
              <w:rPr>
                <w:color w:val="000000"/>
              </w:rPr>
            </w:pPr>
            <w:r w:rsidRPr="007C4A29">
              <w:rPr>
                <w:color w:val="000000"/>
              </w:rPr>
              <w:t>B</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6563</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6921</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7286</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7650</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8013</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8378</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8915</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9273</w:t>
            </w:r>
          </w:p>
        </w:tc>
      </w:tr>
      <w:tr w:rsidR="00AC6629" w:rsidRPr="007C4A29" w:rsidTr="00F80364">
        <w:trPr>
          <w:trHeight w:val="315"/>
        </w:trPr>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25</w:t>
            </w:r>
          </w:p>
        </w:tc>
        <w:tc>
          <w:tcPr>
            <w:tcW w:w="960" w:type="dxa"/>
            <w:tcBorders>
              <w:top w:val="nil"/>
              <w:left w:val="nil"/>
              <w:bottom w:val="nil"/>
              <w:right w:val="nil"/>
            </w:tcBorders>
            <w:shd w:val="clear" w:color="auto" w:fill="auto"/>
            <w:vAlign w:val="bottom"/>
          </w:tcPr>
          <w:p w:rsidR="00AC6629" w:rsidRPr="007C4A29" w:rsidRDefault="00AC6629" w:rsidP="00F80364">
            <w:pPr>
              <w:jc w:val="center"/>
              <w:rPr>
                <w:color w:val="000000"/>
              </w:rPr>
            </w:pPr>
            <w:r w:rsidRPr="007C4A29">
              <w:rPr>
                <w:color w:val="000000"/>
              </w:rPr>
              <w:t>Q</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6856</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7233</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7611</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7997</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8377</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8756</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9318</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9691</w:t>
            </w:r>
          </w:p>
        </w:tc>
      </w:tr>
      <w:tr w:rsidR="00AC6629" w:rsidRPr="007C4A29" w:rsidTr="00F80364">
        <w:trPr>
          <w:trHeight w:val="315"/>
        </w:trPr>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25</w:t>
            </w:r>
          </w:p>
        </w:tc>
        <w:tc>
          <w:tcPr>
            <w:tcW w:w="960" w:type="dxa"/>
            <w:tcBorders>
              <w:top w:val="nil"/>
              <w:left w:val="nil"/>
              <w:bottom w:val="nil"/>
              <w:right w:val="nil"/>
            </w:tcBorders>
            <w:shd w:val="clear" w:color="auto" w:fill="auto"/>
            <w:vAlign w:val="bottom"/>
          </w:tcPr>
          <w:p w:rsidR="00AC6629" w:rsidRPr="007C4A29" w:rsidRDefault="00AC6629" w:rsidP="00F80364">
            <w:pPr>
              <w:jc w:val="center"/>
              <w:rPr>
                <w:color w:val="000000"/>
              </w:rPr>
            </w:pPr>
            <w:r w:rsidRPr="007C4A29">
              <w:rPr>
                <w:color w:val="000000"/>
              </w:rPr>
              <w:t>S</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6937</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7313</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7691</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8073</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8454</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8832</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9397</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9774</w:t>
            </w:r>
          </w:p>
        </w:tc>
      </w:tr>
      <w:tr w:rsidR="00AC6629" w:rsidRPr="007C4A29" w:rsidTr="00F80364">
        <w:trPr>
          <w:trHeight w:val="300"/>
        </w:trPr>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c>
          <w:tcPr>
            <w:tcW w:w="960" w:type="dxa"/>
            <w:tcBorders>
              <w:top w:val="nil"/>
              <w:left w:val="nil"/>
              <w:bottom w:val="nil"/>
              <w:right w:val="nil"/>
            </w:tcBorders>
            <w:shd w:val="clear" w:color="auto" w:fill="auto"/>
            <w:noWrap/>
            <w:vAlign w:val="bottom"/>
          </w:tcPr>
          <w:p w:rsidR="00AC6629" w:rsidRPr="007C4A29" w:rsidRDefault="00AC6629" w:rsidP="00F80364">
            <w:pPr>
              <w:rPr>
                <w:color w:val="000000"/>
                <w:sz w:val="20"/>
                <w:szCs w:val="20"/>
              </w:rPr>
            </w:pPr>
          </w:p>
        </w:tc>
      </w:tr>
      <w:tr w:rsidR="00AC6629" w:rsidRPr="007C4A29" w:rsidTr="00F80364">
        <w:trPr>
          <w:trHeight w:val="315"/>
        </w:trPr>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26</w:t>
            </w:r>
          </w:p>
        </w:tc>
        <w:tc>
          <w:tcPr>
            <w:tcW w:w="960" w:type="dxa"/>
            <w:tcBorders>
              <w:top w:val="nil"/>
              <w:left w:val="nil"/>
              <w:bottom w:val="nil"/>
              <w:right w:val="nil"/>
            </w:tcBorders>
            <w:shd w:val="clear" w:color="auto" w:fill="auto"/>
            <w:vAlign w:val="bottom"/>
          </w:tcPr>
          <w:p w:rsidR="00AC6629" w:rsidRPr="007C4A29" w:rsidRDefault="00AC6629" w:rsidP="00F80364">
            <w:pPr>
              <w:jc w:val="center"/>
              <w:rPr>
                <w:color w:val="000000"/>
              </w:rPr>
            </w:pPr>
            <w:r w:rsidRPr="007C4A29">
              <w:rPr>
                <w:color w:val="000000"/>
              </w:rPr>
              <w:t>B</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7003</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7386</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7779</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8172</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8553</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8937</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9515</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9894</w:t>
            </w:r>
          </w:p>
        </w:tc>
      </w:tr>
      <w:tr w:rsidR="00AC6629" w:rsidRPr="007C4A29" w:rsidTr="00F80364">
        <w:trPr>
          <w:trHeight w:val="315"/>
        </w:trPr>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26</w:t>
            </w:r>
          </w:p>
        </w:tc>
        <w:tc>
          <w:tcPr>
            <w:tcW w:w="960" w:type="dxa"/>
            <w:tcBorders>
              <w:top w:val="nil"/>
              <w:left w:val="nil"/>
              <w:bottom w:val="nil"/>
              <w:right w:val="nil"/>
            </w:tcBorders>
            <w:shd w:val="clear" w:color="auto" w:fill="auto"/>
            <w:vAlign w:val="bottom"/>
          </w:tcPr>
          <w:p w:rsidR="00AC6629" w:rsidRPr="007C4A29" w:rsidRDefault="00AC6629" w:rsidP="00F80364">
            <w:pPr>
              <w:jc w:val="center"/>
              <w:rPr>
                <w:color w:val="000000"/>
              </w:rPr>
            </w:pPr>
            <w:r w:rsidRPr="007C4A29">
              <w:rPr>
                <w:color w:val="000000"/>
              </w:rPr>
              <w:t>Q</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7340</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7739</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8149</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8561</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8961</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9361</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9967</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sidRPr="007C4A29">
              <w:rPr>
                <w:color w:val="000000"/>
              </w:rPr>
              <w:t>10365</w:t>
            </w:r>
          </w:p>
        </w:tc>
      </w:tr>
      <w:tr w:rsidR="00C60BA9" w:rsidRPr="007C4A29" w:rsidTr="00F80364">
        <w:trPr>
          <w:trHeight w:val="315"/>
        </w:trPr>
        <w:tc>
          <w:tcPr>
            <w:tcW w:w="960" w:type="dxa"/>
            <w:tcBorders>
              <w:top w:val="nil"/>
              <w:left w:val="nil"/>
              <w:bottom w:val="nil"/>
              <w:right w:val="nil"/>
            </w:tcBorders>
            <w:shd w:val="clear" w:color="auto" w:fill="auto"/>
            <w:noWrap/>
            <w:vAlign w:val="bottom"/>
          </w:tcPr>
          <w:p w:rsidR="00C60BA9" w:rsidRDefault="00C60BA9" w:rsidP="00F80364">
            <w:pPr>
              <w:jc w:val="center"/>
              <w:rPr>
                <w:color w:val="000000"/>
              </w:rPr>
            </w:pPr>
          </w:p>
        </w:tc>
        <w:tc>
          <w:tcPr>
            <w:tcW w:w="960" w:type="dxa"/>
            <w:tcBorders>
              <w:top w:val="nil"/>
              <w:left w:val="nil"/>
              <w:bottom w:val="nil"/>
              <w:right w:val="nil"/>
            </w:tcBorders>
            <w:shd w:val="clear" w:color="auto" w:fill="auto"/>
            <w:vAlign w:val="bottom"/>
          </w:tcPr>
          <w:p w:rsidR="00C60BA9" w:rsidRDefault="00C60BA9" w:rsidP="00F80364">
            <w:pPr>
              <w:jc w:val="center"/>
              <w:rPr>
                <w:color w:val="000000"/>
              </w:rPr>
            </w:pPr>
          </w:p>
        </w:tc>
        <w:tc>
          <w:tcPr>
            <w:tcW w:w="960" w:type="dxa"/>
            <w:tcBorders>
              <w:top w:val="nil"/>
              <w:left w:val="nil"/>
              <w:bottom w:val="nil"/>
              <w:right w:val="nil"/>
            </w:tcBorders>
            <w:shd w:val="clear" w:color="auto" w:fill="auto"/>
            <w:noWrap/>
            <w:vAlign w:val="bottom"/>
          </w:tcPr>
          <w:p w:rsidR="00C60BA9" w:rsidRDefault="00C60BA9" w:rsidP="00F80364">
            <w:pPr>
              <w:jc w:val="center"/>
              <w:rPr>
                <w:color w:val="000000"/>
              </w:rPr>
            </w:pPr>
          </w:p>
        </w:tc>
        <w:tc>
          <w:tcPr>
            <w:tcW w:w="960" w:type="dxa"/>
            <w:tcBorders>
              <w:top w:val="nil"/>
              <w:left w:val="nil"/>
              <w:bottom w:val="nil"/>
              <w:right w:val="nil"/>
            </w:tcBorders>
            <w:shd w:val="clear" w:color="auto" w:fill="auto"/>
            <w:noWrap/>
            <w:vAlign w:val="bottom"/>
          </w:tcPr>
          <w:p w:rsidR="00C60BA9" w:rsidRDefault="00C60BA9" w:rsidP="00F80364">
            <w:pPr>
              <w:jc w:val="center"/>
              <w:rPr>
                <w:color w:val="000000"/>
              </w:rPr>
            </w:pPr>
          </w:p>
        </w:tc>
        <w:tc>
          <w:tcPr>
            <w:tcW w:w="960" w:type="dxa"/>
            <w:tcBorders>
              <w:top w:val="nil"/>
              <w:left w:val="nil"/>
              <w:bottom w:val="nil"/>
              <w:right w:val="nil"/>
            </w:tcBorders>
            <w:shd w:val="clear" w:color="auto" w:fill="auto"/>
            <w:noWrap/>
            <w:vAlign w:val="bottom"/>
          </w:tcPr>
          <w:p w:rsidR="00C60BA9" w:rsidRDefault="00C60BA9" w:rsidP="00F80364">
            <w:pPr>
              <w:jc w:val="center"/>
              <w:rPr>
                <w:color w:val="000000"/>
              </w:rPr>
            </w:pPr>
          </w:p>
        </w:tc>
        <w:tc>
          <w:tcPr>
            <w:tcW w:w="960" w:type="dxa"/>
            <w:tcBorders>
              <w:top w:val="nil"/>
              <w:left w:val="nil"/>
              <w:bottom w:val="nil"/>
              <w:right w:val="nil"/>
            </w:tcBorders>
            <w:shd w:val="clear" w:color="auto" w:fill="auto"/>
            <w:noWrap/>
            <w:vAlign w:val="bottom"/>
          </w:tcPr>
          <w:p w:rsidR="00C60BA9" w:rsidRDefault="00C60BA9" w:rsidP="00F80364">
            <w:pPr>
              <w:jc w:val="center"/>
              <w:rPr>
                <w:color w:val="000000"/>
              </w:rPr>
            </w:pPr>
          </w:p>
        </w:tc>
        <w:tc>
          <w:tcPr>
            <w:tcW w:w="960" w:type="dxa"/>
            <w:tcBorders>
              <w:top w:val="nil"/>
              <w:left w:val="nil"/>
              <w:bottom w:val="nil"/>
              <w:right w:val="nil"/>
            </w:tcBorders>
            <w:shd w:val="clear" w:color="auto" w:fill="auto"/>
            <w:noWrap/>
            <w:vAlign w:val="bottom"/>
          </w:tcPr>
          <w:p w:rsidR="00C60BA9" w:rsidRDefault="00C60BA9" w:rsidP="00F80364">
            <w:pPr>
              <w:jc w:val="center"/>
              <w:rPr>
                <w:color w:val="000000"/>
              </w:rPr>
            </w:pPr>
          </w:p>
        </w:tc>
        <w:tc>
          <w:tcPr>
            <w:tcW w:w="960" w:type="dxa"/>
            <w:tcBorders>
              <w:top w:val="nil"/>
              <w:left w:val="nil"/>
              <w:bottom w:val="nil"/>
              <w:right w:val="nil"/>
            </w:tcBorders>
            <w:shd w:val="clear" w:color="auto" w:fill="auto"/>
            <w:noWrap/>
            <w:vAlign w:val="bottom"/>
          </w:tcPr>
          <w:p w:rsidR="00C60BA9" w:rsidRDefault="00C60BA9" w:rsidP="00F80364">
            <w:pPr>
              <w:jc w:val="center"/>
              <w:rPr>
                <w:color w:val="000000"/>
              </w:rPr>
            </w:pPr>
          </w:p>
        </w:tc>
        <w:tc>
          <w:tcPr>
            <w:tcW w:w="960" w:type="dxa"/>
            <w:tcBorders>
              <w:top w:val="nil"/>
              <w:left w:val="nil"/>
              <w:bottom w:val="nil"/>
              <w:right w:val="nil"/>
            </w:tcBorders>
            <w:shd w:val="clear" w:color="auto" w:fill="auto"/>
            <w:noWrap/>
            <w:vAlign w:val="bottom"/>
          </w:tcPr>
          <w:p w:rsidR="00C60BA9" w:rsidRDefault="00C60BA9" w:rsidP="00F80364">
            <w:pPr>
              <w:jc w:val="center"/>
              <w:rPr>
                <w:color w:val="000000"/>
              </w:rPr>
            </w:pPr>
          </w:p>
        </w:tc>
        <w:tc>
          <w:tcPr>
            <w:tcW w:w="960" w:type="dxa"/>
            <w:tcBorders>
              <w:top w:val="nil"/>
              <w:left w:val="nil"/>
              <w:bottom w:val="nil"/>
              <w:right w:val="nil"/>
            </w:tcBorders>
            <w:shd w:val="clear" w:color="auto" w:fill="auto"/>
            <w:noWrap/>
            <w:vAlign w:val="bottom"/>
          </w:tcPr>
          <w:p w:rsidR="00C60BA9" w:rsidRDefault="00C60BA9" w:rsidP="00F80364">
            <w:pPr>
              <w:jc w:val="center"/>
              <w:rPr>
                <w:color w:val="000000"/>
              </w:rPr>
            </w:pPr>
          </w:p>
        </w:tc>
      </w:tr>
      <w:tr w:rsidR="00AC6629" w:rsidRPr="007C4A29" w:rsidTr="00F80364">
        <w:trPr>
          <w:trHeight w:val="315"/>
        </w:trPr>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Pr>
                <w:color w:val="000000"/>
              </w:rPr>
              <w:t>27</w:t>
            </w:r>
          </w:p>
        </w:tc>
        <w:tc>
          <w:tcPr>
            <w:tcW w:w="960" w:type="dxa"/>
            <w:tcBorders>
              <w:top w:val="nil"/>
              <w:left w:val="nil"/>
              <w:bottom w:val="nil"/>
              <w:right w:val="nil"/>
            </w:tcBorders>
            <w:shd w:val="clear" w:color="auto" w:fill="auto"/>
            <w:vAlign w:val="bottom"/>
          </w:tcPr>
          <w:p w:rsidR="00AC6629" w:rsidRPr="007C4A29" w:rsidRDefault="00AC6629" w:rsidP="00F80364">
            <w:pPr>
              <w:jc w:val="center"/>
              <w:rPr>
                <w:color w:val="000000"/>
              </w:rPr>
            </w:pPr>
            <w:r>
              <w:rPr>
                <w:color w:val="000000"/>
              </w:rPr>
              <w:t>B</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Pr>
                <w:color w:val="000000"/>
              </w:rPr>
              <w:t>7476</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Pr>
                <w:color w:val="000000"/>
              </w:rPr>
              <w:t>7883</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Pr>
                <w:color w:val="000000"/>
              </w:rPr>
              <w:t>8299</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Pr>
                <w:color w:val="000000"/>
              </w:rPr>
              <w:t>8719</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Pr>
                <w:color w:val="000000"/>
              </w:rPr>
              <w:t>9127</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Pr>
                <w:color w:val="000000"/>
              </w:rPr>
              <w:t>9537</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Pr>
                <w:color w:val="000000"/>
              </w:rPr>
              <w:t>10153</w:t>
            </w:r>
          </w:p>
        </w:tc>
        <w:tc>
          <w:tcPr>
            <w:tcW w:w="960" w:type="dxa"/>
            <w:tcBorders>
              <w:top w:val="nil"/>
              <w:left w:val="nil"/>
              <w:bottom w:val="nil"/>
              <w:right w:val="nil"/>
            </w:tcBorders>
            <w:shd w:val="clear" w:color="auto" w:fill="auto"/>
            <w:noWrap/>
            <w:vAlign w:val="bottom"/>
          </w:tcPr>
          <w:p w:rsidR="00AC6629" w:rsidRPr="007C4A29" w:rsidRDefault="00AC6629" w:rsidP="00F80364">
            <w:pPr>
              <w:jc w:val="center"/>
              <w:rPr>
                <w:color w:val="000000"/>
              </w:rPr>
            </w:pPr>
            <w:r>
              <w:rPr>
                <w:color w:val="000000"/>
              </w:rPr>
              <w:t>10560</w:t>
            </w:r>
          </w:p>
        </w:tc>
      </w:tr>
    </w:tbl>
    <w:p w:rsidR="00AC6629" w:rsidRPr="001910C6" w:rsidRDefault="00AC6629" w:rsidP="00AC6629">
      <w:pPr>
        <w:rPr>
          <w:b/>
        </w:rPr>
      </w:pPr>
    </w:p>
    <w:p w:rsidR="00AC6629" w:rsidRPr="00D55B37" w:rsidRDefault="00AC6629">
      <w:pPr>
        <w:pStyle w:val="JCARSourceNote"/>
        <w:ind w:left="720"/>
      </w:pPr>
      <w:r w:rsidRPr="00D55B37">
        <w:t xml:space="preserve">(Source:  </w:t>
      </w:r>
      <w:r>
        <w:t>Amended</w:t>
      </w:r>
      <w:r w:rsidRPr="00D55B37">
        <w:t xml:space="preserve"> at </w:t>
      </w:r>
      <w:r>
        <w:t>36 I</w:t>
      </w:r>
      <w:r w:rsidRPr="00D55B37">
        <w:t xml:space="preserve">ll. Reg. </w:t>
      </w:r>
      <w:r w:rsidR="00585688">
        <w:t>4707</w:t>
      </w:r>
      <w:r w:rsidRPr="00D55B37">
        <w:t xml:space="preserve">, effective </w:t>
      </w:r>
      <w:r w:rsidR="00585688">
        <w:t>March 19, 2012</w:t>
      </w:r>
      <w:r w:rsidRPr="00D55B37">
        <w:t>)</w:t>
      </w:r>
    </w:p>
    <w:sectPr w:rsidR="00AC662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C91" w:rsidRDefault="006C0C91">
      <w:r>
        <w:separator/>
      </w:r>
    </w:p>
  </w:endnote>
  <w:endnote w:type="continuationSeparator" w:id="0">
    <w:p w:rsidR="006C0C91" w:rsidRDefault="006C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C91" w:rsidRDefault="006C0C91">
      <w:r>
        <w:separator/>
      </w:r>
    </w:p>
  </w:footnote>
  <w:footnote w:type="continuationSeparator" w:id="0">
    <w:p w:rsidR="006C0C91" w:rsidRDefault="006C0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259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67B3C"/>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9D"/>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5688"/>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C91"/>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144"/>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468B"/>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629"/>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BA9"/>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5BCB"/>
    <w:rsid w:val="00D03A79"/>
    <w:rsid w:val="00D0676C"/>
    <w:rsid w:val="00D10D50"/>
    <w:rsid w:val="00D17DC3"/>
    <w:rsid w:val="00D2155A"/>
    <w:rsid w:val="00D230C7"/>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0364"/>
    <w:rsid w:val="00F823C8"/>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6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link w:val="Heading5Char"/>
    <w:qFormat/>
    <w:rsid w:val="00AC6629"/>
    <w:pPr>
      <w:keepNext/>
      <w:outlineLvl w:val="4"/>
    </w:pPr>
    <w:rPr>
      <w:sz w:val="22"/>
      <w:szCs w:val="20"/>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5Char">
    <w:name w:val="Heading 5 Char"/>
    <w:basedOn w:val="DefaultParagraphFont"/>
    <w:link w:val="Heading5"/>
    <w:rsid w:val="00AC6629"/>
    <w:rPr>
      <w:sz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6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link w:val="Heading5Char"/>
    <w:qFormat/>
    <w:rsid w:val="00AC6629"/>
    <w:pPr>
      <w:keepNext/>
      <w:outlineLvl w:val="4"/>
    </w:pPr>
    <w:rPr>
      <w:sz w:val="22"/>
      <w:szCs w:val="20"/>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5Char">
    <w:name w:val="Heading 5 Char"/>
    <w:basedOn w:val="DefaultParagraphFont"/>
    <w:link w:val="Heading5"/>
    <w:rsid w:val="00AC6629"/>
    <w:rPr>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