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B8" w:rsidRDefault="00EE4BB8" w:rsidP="00EE4B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BB8" w:rsidRDefault="00EE4BB8" w:rsidP="00EE4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2070.1915  Dihydrocodeinone</w:t>
      </w:r>
      <w:r>
        <w:t xml:space="preserve"> </w:t>
      </w:r>
    </w:p>
    <w:p w:rsidR="00EE4BB8" w:rsidRDefault="00EE4BB8" w:rsidP="00EE4BB8">
      <w:pPr>
        <w:widowControl w:val="0"/>
        <w:autoSpaceDE w:val="0"/>
        <w:autoSpaceDN w:val="0"/>
        <w:adjustRightInd w:val="0"/>
      </w:pPr>
    </w:p>
    <w:p w:rsidR="00EE4BB8" w:rsidRDefault="00EE4BB8" w:rsidP="00EE4BB8">
      <w:pPr>
        <w:widowControl w:val="0"/>
        <w:autoSpaceDE w:val="0"/>
        <w:autoSpaceDN w:val="0"/>
        <w:adjustRightInd w:val="0"/>
      </w:pPr>
      <w:r>
        <w:t xml:space="preserve">Not more than 300 milligrams of dihydrocodeinone, or any of its salts, per 100 milliliters or not more than 15 milligrams per dosage unit, with a fourfold or greater quantity of an isoquinoline alkaloid of opium. </w:t>
      </w:r>
    </w:p>
    <w:sectPr w:rsidR="00EE4BB8" w:rsidSect="00EE4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BB8"/>
    <w:rsid w:val="00043625"/>
    <w:rsid w:val="000A4B74"/>
    <w:rsid w:val="002F63FB"/>
    <w:rsid w:val="005C3366"/>
    <w:rsid w:val="00E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