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02" w:rsidRDefault="00F34402" w:rsidP="00F344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4402" w:rsidRDefault="00F34402" w:rsidP="00F34402">
      <w:pPr>
        <w:widowControl w:val="0"/>
        <w:autoSpaceDE w:val="0"/>
        <w:autoSpaceDN w:val="0"/>
        <w:adjustRightInd w:val="0"/>
        <w:jc w:val="center"/>
      </w:pPr>
      <w:r>
        <w:t>SUBPART V:  CRITERIA AND STANDARDS--ACUTE MENTAL ILLNESS TREATMENT SERVICES</w:t>
      </w:r>
    </w:p>
    <w:sectPr w:rsidR="00F34402" w:rsidSect="00F344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4402"/>
    <w:rsid w:val="00117CA3"/>
    <w:rsid w:val="00164182"/>
    <w:rsid w:val="005C3366"/>
    <w:rsid w:val="00B241AD"/>
    <w:rsid w:val="00F3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V:  CRITERIA AND STANDARDS--ACUTE MENTAL ILLNESS TREATMENT SERVICES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V:  CRITERIA AND STANDARDS--ACUTE MENTAL ILLNESS TREATMENT SERVICES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