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3C" w:rsidRDefault="003E5A3C" w:rsidP="003E5A3C">
      <w:pPr>
        <w:widowControl w:val="0"/>
        <w:autoSpaceDE w:val="0"/>
        <w:autoSpaceDN w:val="0"/>
        <w:adjustRightInd w:val="0"/>
      </w:pPr>
      <w:bookmarkStart w:id="0" w:name="_GoBack"/>
      <w:bookmarkEnd w:id="0"/>
    </w:p>
    <w:p w:rsidR="003E5A3C" w:rsidRDefault="003E5A3C" w:rsidP="003E5A3C">
      <w:pPr>
        <w:widowControl w:val="0"/>
        <w:autoSpaceDE w:val="0"/>
        <w:autoSpaceDN w:val="0"/>
        <w:adjustRightInd w:val="0"/>
      </w:pPr>
      <w:r>
        <w:rPr>
          <w:b/>
          <w:bCs/>
        </w:rPr>
        <w:t>Section 906.40  Fill Material</w:t>
      </w:r>
      <w:r>
        <w:t xml:space="preserve"> </w:t>
      </w:r>
    </w:p>
    <w:p w:rsidR="003E5A3C" w:rsidRDefault="003E5A3C" w:rsidP="003E5A3C">
      <w:pPr>
        <w:widowControl w:val="0"/>
        <w:autoSpaceDE w:val="0"/>
        <w:autoSpaceDN w:val="0"/>
        <w:adjustRightInd w:val="0"/>
      </w:pPr>
    </w:p>
    <w:p w:rsidR="003E5A3C" w:rsidRDefault="003E5A3C" w:rsidP="003E5A3C">
      <w:pPr>
        <w:widowControl w:val="0"/>
        <w:autoSpaceDE w:val="0"/>
        <w:autoSpaceDN w:val="0"/>
        <w:adjustRightInd w:val="0"/>
        <w:ind w:left="1440" w:hanging="720"/>
      </w:pPr>
      <w:r>
        <w:t>a)</w:t>
      </w:r>
      <w:r>
        <w:tab/>
        <w:t xml:space="preserve">Below Absorption Area </w:t>
      </w:r>
    </w:p>
    <w:p w:rsidR="000746B7" w:rsidRDefault="000746B7" w:rsidP="003E5A3C">
      <w:pPr>
        <w:widowControl w:val="0"/>
        <w:autoSpaceDE w:val="0"/>
        <w:autoSpaceDN w:val="0"/>
        <w:adjustRightInd w:val="0"/>
        <w:ind w:left="2160" w:hanging="720"/>
      </w:pPr>
    </w:p>
    <w:p w:rsidR="003E5A3C" w:rsidRDefault="003E5A3C" w:rsidP="003E5A3C">
      <w:pPr>
        <w:widowControl w:val="0"/>
        <w:autoSpaceDE w:val="0"/>
        <w:autoSpaceDN w:val="0"/>
        <w:adjustRightInd w:val="0"/>
        <w:ind w:left="2160" w:hanging="720"/>
      </w:pPr>
      <w:r>
        <w:t>1)</w:t>
      </w:r>
      <w:r>
        <w:tab/>
        <w:t xml:space="preserve">A mound system shall be provided with a fill material beneath the absorption area (trenches or bed).  One of the following fill materials shall be used. </w:t>
      </w:r>
    </w:p>
    <w:p w:rsidR="000746B7" w:rsidRDefault="000746B7" w:rsidP="003E5A3C">
      <w:pPr>
        <w:widowControl w:val="0"/>
        <w:autoSpaceDE w:val="0"/>
        <w:autoSpaceDN w:val="0"/>
        <w:adjustRightInd w:val="0"/>
        <w:ind w:left="2880" w:hanging="720"/>
      </w:pPr>
    </w:p>
    <w:p w:rsidR="003E5A3C" w:rsidRDefault="003E5A3C" w:rsidP="003E5A3C">
      <w:pPr>
        <w:widowControl w:val="0"/>
        <w:autoSpaceDE w:val="0"/>
        <w:autoSpaceDN w:val="0"/>
        <w:adjustRightInd w:val="0"/>
        <w:ind w:left="2880" w:hanging="720"/>
      </w:pPr>
      <w:r>
        <w:t>A)</w:t>
      </w:r>
      <w:r>
        <w:tab/>
        <w:t xml:space="preserve">FA-1 </w:t>
      </w:r>
    </w:p>
    <w:p w:rsidR="000746B7" w:rsidRDefault="000746B7" w:rsidP="003E5A3C">
      <w:pPr>
        <w:widowControl w:val="0"/>
        <w:autoSpaceDE w:val="0"/>
        <w:autoSpaceDN w:val="0"/>
        <w:adjustRightInd w:val="0"/>
        <w:ind w:left="2880" w:hanging="720"/>
      </w:pPr>
    </w:p>
    <w:p w:rsidR="003E5A3C" w:rsidRDefault="003E5A3C" w:rsidP="003E5A3C">
      <w:pPr>
        <w:widowControl w:val="0"/>
        <w:autoSpaceDE w:val="0"/>
        <w:autoSpaceDN w:val="0"/>
        <w:adjustRightInd w:val="0"/>
        <w:ind w:left="2880" w:hanging="720"/>
      </w:pPr>
      <w:r>
        <w:t>B)</w:t>
      </w:r>
      <w:r>
        <w:tab/>
        <w:t xml:space="preserve">FA-2 </w:t>
      </w:r>
    </w:p>
    <w:p w:rsidR="000746B7" w:rsidRDefault="000746B7" w:rsidP="003E5A3C">
      <w:pPr>
        <w:widowControl w:val="0"/>
        <w:autoSpaceDE w:val="0"/>
        <w:autoSpaceDN w:val="0"/>
        <w:adjustRightInd w:val="0"/>
        <w:ind w:left="2880" w:hanging="720"/>
      </w:pPr>
    </w:p>
    <w:p w:rsidR="003E5A3C" w:rsidRDefault="003E5A3C" w:rsidP="003E5A3C">
      <w:pPr>
        <w:widowControl w:val="0"/>
        <w:autoSpaceDE w:val="0"/>
        <w:autoSpaceDN w:val="0"/>
        <w:adjustRightInd w:val="0"/>
        <w:ind w:left="2880" w:hanging="720"/>
      </w:pPr>
      <w:r>
        <w:t>C)</w:t>
      </w:r>
      <w:r>
        <w:tab/>
        <w:t xml:space="preserve">FA-3 </w:t>
      </w:r>
    </w:p>
    <w:p w:rsidR="000746B7" w:rsidRDefault="000746B7" w:rsidP="003E5A3C">
      <w:pPr>
        <w:widowControl w:val="0"/>
        <w:autoSpaceDE w:val="0"/>
        <w:autoSpaceDN w:val="0"/>
        <w:adjustRightInd w:val="0"/>
        <w:ind w:left="2880" w:hanging="720"/>
      </w:pPr>
    </w:p>
    <w:p w:rsidR="003E5A3C" w:rsidRDefault="003E5A3C" w:rsidP="003E5A3C">
      <w:pPr>
        <w:widowControl w:val="0"/>
        <w:autoSpaceDE w:val="0"/>
        <w:autoSpaceDN w:val="0"/>
        <w:adjustRightInd w:val="0"/>
        <w:ind w:left="2880" w:hanging="720"/>
      </w:pPr>
      <w:r>
        <w:t>D)</w:t>
      </w:r>
      <w:r>
        <w:tab/>
        <w:t xml:space="preserve">FA-8 </w:t>
      </w:r>
    </w:p>
    <w:p w:rsidR="000746B7" w:rsidRDefault="000746B7" w:rsidP="003E5A3C">
      <w:pPr>
        <w:widowControl w:val="0"/>
        <w:autoSpaceDE w:val="0"/>
        <w:autoSpaceDN w:val="0"/>
        <w:adjustRightInd w:val="0"/>
        <w:ind w:left="2880" w:hanging="720"/>
      </w:pPr>
    </w:p>
    <w:p w:rsidR="003E5A3C" w:rsidRDefault="003E5A3C" w:rsidP="003E5A3C">
      <w:pPr>
        <w:widowControl w:val="0"/>
        <w:autoSpaceDE w:val="0"/>
        <w:autoSpaceDN w:val="0"/>
        <w:adjustRightInd w:val="0"/>
        <w:ind w:left="2880" w:hanging="720"/>
      </w:pPr>
      <w:r>
        <w:t>E)</w:t>
      </w:r>
      <w:r>
        <w:tab/>
        <w:t xml:space="preserve">FA-9 </w:t>
      </w:r>
    </w:p>
    <w:p w:rsidR="000746B7" w:rsidRDefault="000746B7" w:rsidP="003E5A3C">
      <w:pPr>
        <w:widowControl w:val="0"/>
        <w:autoSpaceDE w:val="0"/>
        <w:autoSpaceDN w:val="0"/>
        <w:adjustRightInd w:val="0"/>
        <w:ind w:left="2160" w:hanging="720"/>
      </w:pPr>
    </w:p>
    <w:p w:rsidR="003E5A3C" w:rsidRDefault="003E5A3C" w:rsidP="003E5A3C">
      <w:pPr>
        <w:widowControl w:val="0"/>
        <w:autoSpaceDE w:val="0"/>
        <w:autoSpaceDN w:val="0"/>
        <w:adjustRightInd w:val="0"/>
        <w:ind w:left="2160" w:hanging="720"/>
      </w:pPr>
      <w:r>
        <w:t>2)</w:t>
      </w:r>
      <w:r>
        <w:tab/>
        <w:t xml:space="preserve">These materials are classified and graded in accordance with Illinois Department of Transportation, Division of Highways specifications for fine aggregate.  These materials shall meet the gradation specifications as shown for these five fine aggregates in Appendix A, Exhibit B. </w:t>
      </w:r>
    </w:p>
    <w:p w:rsidR="000746B7" w:rsidRDefault="000746B7" w:rsidP="003E5A3C">
      <w:pPr>
        <w:widowControl w:val="0"/>
        <w:autoSpaceDE w:val="0"/>
        <w:autoSpaceDN w:val="0"/>
        <w:adjustRightInd w:val="0"/>
        <w:ind w:left="1440" w:hanging="720"/>
      </w:pPr>
    </w:p>
    <w:p w:rsidR="003E5A3C" w:rsidRDefault="003E5A3C" w:rsidP="003E5A3C">
      <w:pPr>
        <w:widowControl w:val="0"/>
        <w:autoSpaceDE w:val="0"/>
        <w:autoSpaceDN w:val="0"/>
        <w:adjustRightInd w:val="0"/>
        <w:ind w:left="1440" w:hanging="720"/>
      </w:pPr>
      <w:r>
        <w:t>b)</w:t>
      </w:r>
      <w:r>
        <w:tab/>
        <w:t>Above the Absorption Area.  The cap</w:t>
      </w:r>
      <w:r w:rsidR="002102E4">
        <w:t xml:space="preserve"> </w:t>
      </w:r>
      <w:r>
        <w:t xml:space="preserve">(area above the bed or trenches) shall consist of a topsoil to allow plant growth.  Sands are not allowed since they drain rapidly and allow more infiltration of precipitation into the absorption area.  Topsoil shall be placed to a depth of 6 in. over the entire mound to promote good vegetation cover.  The cap soil shall be seeded and fertilized. </w:t>
      </w:r>
    </w:p>
    <w:sectPr w:rsidR="003E5A3C" w:rsidSect="003E5A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A3C"/>
    <w:rsid w:val="000746B7"/>
    <w:rsid w:val="001B4072"/>
    <w:rsid w:val="002102E4"/>
    <w:rsid w:val="003E5A3C"/>
    <w:rsid w:val="005C3366"/>
    <w:rsid w:val="00D2316E"/>
    <w:rsid w:val="00DD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