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9" w:rsidRDefault="00E525B9" w:rsidP="00E525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25B9" w:rsidRDefault="00E525B9" w:rsidP="00E525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830.290  Classification of Pesticides</w:t>
      </w:r>
      <w:r>
        <w:t xml:space="preserve"> </w:t>
      </w:r>
    </w:p>
    <w:p w:rsidR="00E525B9" w:rsidRDefault="00E525B9" w:rsidP="00E525B9">
      <w:pPr>
        <w:widowControl w:val="0"/>
        <w:autoSpaceDE w:val="0"/>
        <w:autoSpaceDN w:val="0"/>
        <w:adjustRightInd w:val="0"/>
      </w:pPr>
    </w:p>
    <w:p w:rsidR="00E525B9" w:rsidRDefault="00E525B9" w:rsidP="00E525B9">
      <w:pPr>
        <w:widowControl w:val="0"/>
        <w:autoSpaceDE w:val="0"/>
        <w:autoSpaceDN w:val="0"/>
        <w:adjustRightInd w:val="0"/>
      </w:pPr>
      <w:r>
        <w:t>Any pesticide registered with the USEPA, other than those classified for restricted</w:t>
      </w:r>
      <w:r w:rsidR="00A27A27">
        <w:t>-</w:t>
      </w:r>
      <w:r>
        <w:t xml:space="preserve">use, shall be considered to be a general-use pesticide for the purposes of the administration of the Act and this Part. </w:t>
      </w:r>
    </w:p>
    <w:p w:rsidR="00E525B9" w:rsidRDefault="00E525B9" w:rsidP="00E525B9">
      <w:pPr>
        <w:widowControl w:val="0"/>
        <w:autoSpaceDE w:val="0"/>
        <w:autoSpaceDN w:val="0"/>
        <w:adjustRightInd w:val="0"/>
      </w:pPr>
    </w:p>
    <w:p w:rsidR="00E525B9" w:rsidRDefault="00E525B9" w:rsidP="00E525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2090, effective February 3, 1989) </w:t>
      </w:r>
    </w:p>
    <w:sectPr w:rsidR="00E525B9" w:rsidSect="00E525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5B9"/>
    <w:rsid w:val="005C3366"/>
    <w:rsid w:val="00866684"/>
    <w:rsid w:val="00A27A27"/>
    <w:rsid w:val="00E525B9"/>
    <w:rsid w:val="00EA35D4"/>
    <w:rsid w:val="00F1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