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41F7" w14:textId="77777777" w:rsidR="007D5FA3" w:rsidRDefault="007D5FA3" w:rsidP="007D5FA3">
      <w:pPr>
        <w:widowControl w:val="0"/>
        <w:autoSpaceDE w:val="0"/>
        <w:autoSpaceDN w:val="0"/>
        <w:adjustRightInd w:val="0"/>
      </w:pPr>
    </w:p>
    <w:p w14:paraId="0B0078DA" w14:textId="77777777" w:rsidR="007D5FA3" w:rsidRDefault="007D5FA3" w:rsidP="007D5F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750.</w:t>
      </w:r>
      <w:r w:rsidR="00C7025A">
        <w:rPr>
          <w:b/>
          <w:bCs/>
        </w:rPr>
        <w:t>1</w:t>
      </w:r>
      <w:r>
        <w:rPr>
          <w:b/>
          <w:bCs/>
        </w:rPr>
        <w:t>20  Inspections</w:t>
      </w:r>
      <w:proofErr w:type="gramEnd"/>
      <w:r>
        <w:rPr>
          <w:b/>
          <w:bCs/>
        </w:rPr>
        <w:t xml:space="preserve"> and Inspection Report</w:t>
      </w:r>
      <w:r>
        <w:t xml:space="preserve"> </w:t>
      </w:r>
    </w:p>
    <w:p w14:paraId="2C28E7B0" w14:textId="77777777" w:rsidR="007D5FA3" w:rsidRDefault="007D5FA3" w:rsidP="007D5FA3">
      <w:pPr>
        <w:widowControl w:val="0"/>
        <w:autoSpaceDE w:val="0"/>
        <w:autoSpaceDN w:val="0"/>
        <w:adjustRightInd w:val="0"/>
      </w:pPr>
    </w:p>
    <w:p w14:paraId="384D1006" w14:textId="7A68B246" w:rsidR="00797191" w:rsidRDefault="00797191" w:rsidP="007971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food establishments are subject to inspection at all times. </w:t>
      </w:r>
    </w:p>
    <w:p w14:paraId="7F6C7BC9" w14:textId="77777777" w:rsidR="00797191" w:rsidRDefault="00797191" w:rsidP="00977A29">
      <w:pPr>
        <w:widowControl w:val="0"/>
        <w:autoSpaceDE w:val="0"/>
        <w:autoSpaceDN w:val="0"/>
        <w:adjustRightInd w:val="0"/>
      </w:pPr>
    </w:p>
    <w:p w14:paraId="7FD5C467" w14:textId="1D8C13B4" w:rsidR="00797191" w:rsidRPr="007570FC" w:rsidRDefault="00797191" w:rsidP="00797191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  <w:r>
        <w:t>b)</w:t>
      </w:r>
      <w:r>
        <w:tab/>
        <w:t xml:space="preserve">The operator of the food establishment shall receive a written or electronic report from the regulatory authority at the end of the inspection.  The inspection </w:t>
      </w:r>
      <w:r w:rsidRPr="007570FC">
        <w:t xml:space="preserve">findings shall be reported on </w:t>
      </w:r>
      <w:r w:rsidRPr="00797191">
        <w:t xml:space="preserve">a food establishment inspection </w:t>
      </w:r>
      <w:r w:rsidR="00B541C4">
        <w:t xml:space="preserve">report </w:t>
      </w:r>
      <w:r w:rsidRPr="007570FC">
        <w:t>or an electronic reporting system that is substantially similar (i.e., includes, at a minimum, the same information).</w:t>
      </w:r>
      <w:r w:rsidRPr="00B541C4">
        <w:t xml:space="preserve"> </w:t>
      </w:r>
      <w:r w:rsidRPr="00797191">
        <w:t>The food establishment inspection report shall capture the food establishment</w:t>
      </w:r>
      <w:r w:rsidR="00C7025A">
        <w:t>'s compliance</w:t>
      </w:r>
      <w:r w:rsidRPr="00797191">
        <w:t xml:space="preserve"> with this Part and </w:t>
      </w:r>
      <w:r w:rsidR="00C7025A">
        <w:t xml:space="preserve">shall </w:t>
      </w:r>
      <w:r w:rsidRPr="00797191">
        <w:t>convey compliance information</w:t>
      </w:r>
      <w:r w:rsidR="00C7025A">
        <w:t xml:space="preserve">, </w:t>
      </w:r>
      <w:r w:rsidR="00C7025A" w:rsidRPr="00797191">
        <w:t xml:space="preserve">at the conclusion of the </w:t>
      </w:r>
      <w:r w:rsidR="00C7025A">
        <w:t>inspection,</w:t>
      </w:r>
      <w:r w:rsidRPr="00797191">
        <w:t xml:space="preserve"> to the permit holder or person in charge of the food establishment.</w:t>
      </w:r>
    </w:p>
    <w:p w14:paraId="46DCA352" w14:textId="77777777" w:rsidR="00797191" w:rsidRPr="007570FC" w:rsidRDefault="00797191" w:rsidP="00977A29">
      <w:pPr>
        <w:widowControl w:val="0"/>
        <w:autoSpaceDE w:val="0"/>
        <w:autoSpaceDN w:val="0"/>
        <w:adjustRightInd w:val="0"/>
      </w:pPr>
    </w:p>
    <w:p w14:paraId="19725D07" w14:textId="77777777" w:rsidR="00797191" w:rsidRPr="00797191" w:rsidRDefault="00797191" w:rsidP="00797191">
      <w:pPr>
        <w:widowControl w:val="0"/>
        <w:autoSpaceDE w:val="0"/>
        <w:autoSpaceDN w:val="0"/>
        <w:adjustRightInd w:val="0"/>
        <w:ind w:left="1440" w:hanging="720"/>
      </w:pPr>
      <w:r w:rsidRPr="00B541C4">
        <w:t>c)</w:t>
      </w:r>
      <w:r w:rsidRPr="007570FC">
        <w:tab/>
      </w:r>
      <w:r w:rsidRPr="00797191">
        <w:t>The food establishment inspection report shall collect the following information:</w:t>
      </w:r>
    </w:p>
    <w:p w14:paraId="5367A005" w14:textId="77777777" w:rsidR="00797191" w:rsidRPr="00797191" w:rsidRDefault="00797191" w:rsidP="00977A29">
      <w:pPr>
        <w:widowControl w:val="0"/>
        <w:autoSpaceDE w:val="0"/>
        <w:autoSpaceDN w:val="0"/>
        <w:adjustRightInd w:val="0"/>
      </w:pPr>
    </w:p>
    <w:p w14:paraId="4972CEC9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1)</w:t>
      </w:r>
      <w:r>
        <w:tab/>
      </w:r>
      <w:r w:rsidR="00797191" w:rsidRPr="00797191">
        <w:t>Name of the regulatory authority conducting the inspection;</w:t>
      </w:r>
    </w:p>
    <w:p w14:paraId="5473CF3B" w14:textId="77777777" w:rsidR="00797191" w:rsidRPr="00797191" w:rsidRDefault="00797191" w:rsidP="00977A29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79E1FEF2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2)</w:t>
      </w:r>
      <w:r>
        <w:tab/>
      </w:r>
      <w:r w:rsidR="00797191" w:rsidRPr="00797191">
        <w:t>Name and contact information of the food establishment subject to the inspection, including permit number and risk category</w:t>
      </w:r>
      <w:r w:rsidR="00863515">
        <w:t xml:space="preserve"> (Category I, II or III, as defined in Section 750.100)</w:t>
      </w:r>
      <w:r w:rsidR="00797191" w:rsidRPr="00797191">
        <w:t xml:space="preserve">; </w:t>
      </w:r>
    </w:p>
    <w:p w14:paraId="6DFE750F" w14:textId="77777777" w:rsidR="00797191" w:rsidRPr="00797191" w:rsidRDefault="00797191" w:rsidP="00977A29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55DDB70F" w14:textId="7D8E16CC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3)</w:t>
      </w:r>
      <w:r>
        <w:tab/>
      </w:r>
      <w:r w:rsidR="00797191" w:rsidRPr="00797191">
        <w:t xml:space="preserve">Purpose of inspection, including date and </w:t>
      </w:r>
      <w:r w:rsidR="00AF2136">
        <w:t xml:space="preserve">start and end </w:t>
      </w:r>
      <w:r w:rsidR="00797191" w:rsidRPr="00797191">
        <w:t>times of the inspection;</w:t>
      </w:r>
    </w:p>
    <w:p w14:paraId="35C4A8F8" w14:textId="77777777" w:rsidR="00797191" w:rsidRPr="00797191" w:rsidRDefault="00797191" w:rsidP="00977A29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549308DC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4)</w:t>
      </w:r>
      <w:r>
        <w:tab/>
      </w:r>
      <w:r w:rsidR="00797191" w:rsidRPr="00797191">
        <w:t>Compliance by the food establishment with foodborne illness risk factors and public heath interventions or control measures, including, but not limited to:</w:t>
      </w:r>
    </w:p>
    <w:p w14:paraId="27C7C6CD" w14:textId="77777777" w:rsidR="00797191" w:rsidRPr="00797191" w:rsidRDefault="00797191" w:rsidP="00977A29">
      <w:pPr>
        <w:pStyle w:val="ListParagraph"/>
        <w:widowControl w:val="0"/>
        <w:autoSpaceDE w:val="0"/>
        <w:autoSpaceDN w:val="0"/>
        <w:adjustRightInd w:val="0"/>
        <w:ind w:left="0"/>
      </w:pPr>
    </w:p>
    <w:p w14:paraId="36226903" w14:textId="77777777" w:rsidR="00797191" w:rsidRPr="00C7025A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97191" w:rsidRPr="00797191">
        <w:t>supervision, including certification;</w:t>
      </w:r>
    </w:p>
    <w:p w14:paraId="612356F4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23CBB7B1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B)</w:t>
      </w:r>
      <w:r>
        <w:tab/>
      </w:r>
      <w:r w:rsidR="00797191" w:rsidRPr="00797191">
        <w:t>employee health;</w:t>
      </w:r>
    </w:p>
    <w:p w14:paraId="5952CE1A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58B99C40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C)</w:t>
      </w:r>
      <w:r>
        <w:tab/>
      </w:r>
      <w:r w:rsidR="00797191" w:rsidRPr="00797191">
        <w:t>good hygiene practices;</w:t>
      </w:r>
    </w:p>
    <w:p w14:paraId="63AC372A" w14:textId="77777777" w:rsidR="00797191" w:rsidRPr="00797191" w:rsidRDefault="00797191" w:rsidP="00102435">
      <w:pPr>
        <w:pStyle w:val="ListParagraph"/>
        <w:ind w:left="0"/>
        <w:rPr>
          <w:color w:val="000000"/>
        </w:rPr>
      </w:pPr>
    </w:p>
    <w:p w14:paraId="60CD2005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D)</w:t>
      </w:r>
      <w:r>
        <w:tab/>
      </w:r>
      <w:r w:rsidR="00797191" w:rsidRPr="00797191">
        <w:t>prevention of contamination by hands;</w:t>
      </w:r>
    </w:p>
    <w:p w14:paraId="385250E2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48F5CB9D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E)</w:t>
      </w:r>
      <w:r>
        <w:tab/>
      </w:r>
      <w:r w:rsidR="00797191" w:rsidRPr="00797191">
        <w:t>approved source of food;</w:t>
      </w:r>
    </w:p>
    <w:p w14:paraId="189113E3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10B4BABE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F)</w:t>
      </w:r>
      <w:r>
        <w:tab/>
      </w:r>
      <w:r w:rsidR="00797191" w:rsidRPr="00797191">
        <w:t>protection of food from contamination;</w:t>
      </w:r>
    </w:p>
    <w:p w14:paraId="006CC53F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67D7BA88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G)</w:t>
      </w:r>
      <w:r>
        <w:tab/>
      </w:r>
      <w:r w:rsidR="00797191" w:rsidRPr="00797191">
        <w:t>time and temperature control for safety;</w:t>
      </w:r>
    </w:p>
    <w:p w14:paraId="5A1BD989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797531CF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H)</w:t>
      </w:r>
      <w:r>
        <w:tab/>
      </w:r>
      <w:r w:rsidR="00797191" w:rsidRPr="00797191">
        <w:t>consumer advisory;</w:t>
      </w:r>
    </w:p>
    <w:p w14:paraId="2004D89F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74F72081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I)</w:t>
      </w:r>
      <w:r>
        <w:tab/>
      </w:r>
      <w:r w:rsidR="00797191" w:rsidRPr="00797191">
        <w:t>highly susceptible populations;</w:t>
      </w:r>
    </w:p>
    <w:p w14:paraId="47A6DF69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67D5A45F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J)</w:t>
      </w:r>
      <w:r>
        <w:tab/>
      </w:r>
      <w:r w:rsidR="00797191" w:rsidRPr="00797191">
        <w:t>food or color additives and toxic substances</w:t>
      </w:r>
      <w:r>
        <w:t>;</w:t>
      </w:r>
      <w:r w:rsidR="00797191" w:rsidRPr="00797191">
        <w:t xml:space="preserve"> and</w:t>
      </w:r>
    </w:p>
    <w:p w14:paraId="0A0FB991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184E961E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K)</w:t>
      </w:r>
      <w:r>
        <w:tab/>
      </w:r>
      <w:r w:rsidR="00797191" w:rsidRPr="00797191">
        <w:t>confo</w:t>
      </w:r>
      <w:r>
        <w:t>rmance with approved procedures;</w:t>
      </w:r>
    </w:p>
    <w:p w14:paraId="19E1B758" w14:textId="77777777" w:rsidR="00797191" w:rsidRPr="00797191" w:rsidRDefault="00797191" w:rsidP="00977A29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03437886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5)</w:t>
      </w:r>
      <w:r>
        <w:tab/>
      </w:r>
      <w:r w:rsidR="00797191" w:rsidRPr="00797191">
        <w:t>Good retail practices and preventative measures designed to control the addition of pathogens, chemicals and physical objects into foods, including, but not limited to:</w:t>
      </w:r>
    </w:p>
    <w:p w14:paraId="4E736014" w14:textId="77777777" w:rsidR="00797191" w:rsidRPr="00797191" w:rsidRDefault="00797191" w:rsidP="00977A29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3B39D056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A)</w:t>
      </w:r>
      <w:r>
        <w:tab/>
        <w:t>s</w:t>
      </w:r>
      <w:r w:rsidR="00797191" w:rsidRPr="00797191">
        <w:t>afe water and food</w:t>
      </w:r>
      <w:r>
        <w:t>;</w:t>
      </w:r>
    </w:p>
    <w:p w14:paraId="33FA4165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22AB847A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B)</w:t>
      </w:r>
      <w:r>
        <w:tab/>
        <w:t>f</w:t>
      </w:r>
      <w:r w:rsidR="00797191" w:rsidRPr="00797191">
        <w:t>ood temperature control</w:t>
      </w:r>
      <w:r>
        <w:t>;</w:t>
      </w:r>
    </w:p>
    <w:p w14:paraId="29060C6C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68174560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C)</w:t>
      </w:r>
      <w:r>
        <w:tab/>
        <w:t>f</w:t>
      </w:r>
      <w:r w:rsidR="00797191" w:rsidRPr="00797191">
        <w:t>ood identification</w:t>
      </w:r>
      <w:r>
        <w:t>;</w:t>
      </w:r>
    </w:p>
    <w:p w14:paraId="5FCD7247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67A5F80A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D)</w:t>
      </w:r>
      <w:r>
        <w:tab/>
        <w:t>p</w:t>
      </w:r>
      <w:r w:rsidR="00797191" w:rsidRPr="00797191">
        <w:t>revention of food contamination</w:t>
      </w:r>
      <w:r>
        <w:t>;</w:t>
      </w:r>
    </w:p>
    <w:p w14:paraId="65298733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05349B21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E)</w:t>
      </w:r>
      <w:r>
        <w:tab/>
        <w:t>p</w:t>
      </w:r>
      <w:r w:rsidR="00797191" w:rsidRPr="00797191">
        <w:t>roper use of utensils</w:t>
      </w:r>
      <w:r>
        <w:t>;</w:t>
      </w:r>
    </w:p>
    <w:p w14:paraId="4E2FEE2B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1FD0D5C5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F)</w:t>
      </w:r>
      <w:r>
        <w:tab/>
        <w:t>u</w:t>
      </w:r>
      <w:r w:rsidR="00797191" w:rsidRPr="00797191">
        <w:t>tensils, equipment and vending</w:t>
      </w:r>
      <w:r>
        <w:t>;</w:t>
      </w:r>
    </w:p>
    <w:p w14:paraId="29A59A7E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5124A8E4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G)</w:t>
      </w:r>
      <w:r>
        <w:tab/>
        <w:t>p</w:t>
      </w:r>
      <w:r w:rsidR="00797191" w:rsidRPr="00797191">
        <w:t>hysical facilities</w:t>
      </w:r>
      <w:r>
        <w:t>; and</w:t>
      </w:r>
    </w:p>
    <w:p w14:paraId="067019DC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159CB709" w14:textId="77777777" w:rsidR="00797191" w:rsidRPr="00797191" w:rsidRDefault="00C7025A" w:rsidP="00102435">
      <w:pPr>
        <w:pStyle w:val="ListParagraph"/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H)</w:t>
      </w:r>
      <w:r>
        <w:tab/>
        <w:t>e</w:t>
      </w:r>
      <w:r w:rsidR="00797191" w:rsidRPr="00797191">
        <w:t>mployee training</w:t>
      </w:r>
      <w:r>
        <w:t>;</w:t>
      </w:r>
    </w:p>
    <w:p w14:paraId="38268AE5" w14:textId="77777777" w:rsidR="00797191" w:rsidRPr="00797191" w:rsidRDefault="00797191" w:rsidP="00977A29">
      <w:pPr>
        <w:widowControl w:val="0"/>
        <w:autoSpaceDE w:val="0"/>
        <w:autoSpaceDN w:val="0"/>
        <w:adjustRightInd w:val="0"/>
      </w:pPr>
    </w:p>
    <w:p w14:paraId="39AB36A1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6)</w:t>
      </w:r>
      <w:r>
        <w:tab/>
      </w:r>
      <w:r w:rsidR="00797191" w:rsidRPr="00797191">
        <w:t>Type of water supply;</w:t>
      </w:r>
    </w:p>
    <w:p w14:paraId="785B843E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69ED42D8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7)</w:t>
      </w:r>
      <w:r>
        <w:tab/>
      </w:r>
      <w:r w:rsidR="00797191" w:rsidRPr="00797191">
        <w:t>Type of waste water system;</w:t>
      </w:r>
    </w:p>
    <w:p w14:paraId="4E2A5047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48569EA4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8)</w:t>
      </w:r>
      <w:r>
        <w:tab/>
      </w:r>
      <w:r w:rsidR="00797191" w:rsidRPr="00797191">
        <w:t>Temperature observations;</w:t>
      </w:r>
    </w:p>
    <w:p w14:paraId="3E10D42B" w14:textId="77777777" w:rsidR="00797191" w:rsidRPr="00797191" w:rsidRDefault="00797191" w:rsidP="00102435">
      <w:pPr>
        <w:pStyle w:val="ListParagraph"/>
        <w:ind w:left="0"/>
        <w:rPr>
          <w:color w:val="000000"/>
        </w:rPr>
      </w:pPr>
    </w:p>
    <w:p w14:paraId="26A84040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9)</w:t>
      </w:r>
      <w:r>
        <w:tab/>
      </w:r>
      <w:r w:rsidR="00797191" w:rsidRPr="00797191">
        <w:t xml:space="preserve">Observations and corrective actions, including time frames within which any violations cited shall be </w:t>
      </w:r>
      <w:r w:rsidR="00863515">
        <w:t>corrected</w:t>
      </w:r>
      <w:r w:rsidR="00797191" w:rsidRPr="00797191">
        <w:t>;</w:t>
      </w:r>
    </w:p>
    <w:p w14:paraId="1FB5ADCB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17D916B8" w14:textId="21DCA600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t>10)</w:t>
      </w:r>
      <w:r>
        <w:tab/>
      </w:r>
      <w:r w:rsidR="00AF2136">
        <w:t>Certified Food Protection Manager</w:t>
      </w:r>
      <w:r w:rsidR="00797191" w:rsidRPr="00797191">
        <w:t xml:space="preserve"> </w:t>
      </w:r>
      <w:r w:rsidR="00C7025A">
        <w:t>v</w:t>
      </w:r>
      <w:r w:rsidR="00797191" w:rsidRPr="00797191">
        <w:t>erification;</w:t>
      </w:r>
    </w:p>
    <w:p w14:paraId="7E495FBD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5FEAE020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t>11)</w:t>
      </w:r>
      <w:r>
        <w:tab/>
      </w:r>
      <w:r w:rsidR="00797191" w:rsidRPr="00797191">
        <w:t xml:space="preserve">HACCP </w:t>
      </w:r>
      <w:r w:rsidR="00C7025A">
        <w:t>t</w:t>
      </w:r>
      <w:r w:rsidR="00797191" w:rsidRPr="00797191">
        <w:t>opic;</w:t>
      </w:r>
    </w:p>
    <w:p w14:paraId="50A51F3D" w14:textId="77777777" w:rsidR="00797191" w:rsidRPr="00797191" w:rsidRDefault="00797191" w:rsidP="00102435">
      <w:pPr>
        <w:pStyle w:val="ListParagraph"/>
        <w:ind w:left="0"/>
        <w:rPr>
          <w:color w:val="000000"/>
        </w:rPr>
      </w:pPr>
    </w:p>
    <w:p w14:paraId="69AC4B69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rPr>
          <w:color w:val="000000"/>
        </w:rPr>
        <w:t>12)</w:t>
      </w:r>
      <w:r>
        <w:rPr>
          <w:color w:val="000000"/>
        </w:rPr>
        <w:tab/>
      </w:r>
      <w:r w:rsidR="00797191" w:rsidRPr="00797191">
        <w:rPr>
          <w:color w:val="000000"/>
        </w:rPr>
        <w:t xml:space="preserve">Food </w:t>
      </w:r>
      <w:r w:rsidR="00C7025A">
        <w:rPr>
          <w:color w:val="000000"/>
        </w:rPr>
        <w:t>h</w:t>
      </w:r>
      <w:r w:rsidR="00797191" w:rsidRPr="00797191">
        <w:rPr>
          <w:color w:val="000000"/>
        </w:rPr>
        <w:t xml:space="preserve">andler </w:t>
      </w:r>
      <w:r w:rsidR="00C7025A">
        <w:rPr>
          <w:color w:val="000000"/>
        </w:rPr>
        <w:t>t</w:t>
      </w:r>
      <w:r w:rsidR="00797191" w:rsidRPr="00797191">
        <w:rPr>
          <w:color w:val="000000"/>
        </w:rPr>
        <w:t>raining;</w:t>
      </w:r>
    </w:p>
    <w:p w14:paraId="11D5FCB3" w14:textId="77777777" w:rsidR="00797191" w:rsidRPr="00797191" w:rsidRDefault="00797191" w:rsidP="00102435">
      <w:pPr>
        <w:pStyle w:val="ListParagraph"/>
        <w:ind w:left="0"/>
        <w:rPr>
          <w:color w:val="000000"/>
        </w:rPr>
      </w:pPr>
    </w:p>
    <w:p w14:paraId="594C14AD" w14:textId="77777777" w:rsidR="00797191" w:rsidRPr="00797191" w:rsidRDefault="009574A6" w:rsidP="009574A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rPr>
          <w:color w:val="000000"/>
        </w:rPr>
        <w:t>13)</w:t>
      </w:r>
      <w:r>
        <w:rPr>
          <w:color w:val="000000"/>
        </w:rPr>
        <w:tab/>
      </w:r>
      <w:r w:rsidR="00797191" w:rsidRPr="00797191">
        <w:rPr>
          <w:color w:val="000000"/>
        </w:rPr>
        <w:t xml:space="preserve">Allergen </w:t>
      </w:r>
      <w:r w:rsidR="00C7025A">
        <w:rPr>
          <w:color w:val="000000"/>
        </w:rPr>
        <w:t>a</w:t>
      </w:r>
      <w:r w:rsidR="00797191" w:rsidRPr="00797191">
        <w:rPr>
          <w:color w:val="000000"/>
        </w:rPr>
        <w:t xml:space="preserve">wareness </w:t>
      </w:r>
      <w:r w:rsidR="00C7025A">
        <w:rPr>
          <w:color w:val="000000"/>
        </w:rPr>
        <w:t>t</w:t>
      </w:r>
      <w:r w:rsidR="00797191" w:rsidRPr="00797191">
        <w:rPr>
          <w:color w:val="000000"/>
        </w:rPr>
        <w:t>raining;</w:t>
      </w:r>
    </w:p>
    <w:p w14:paraId="56C20CC9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62F6934F" w14:textId="176274EA" w:rsidR="00AF2136" w:rsidRDefault="00AF2136" w:rsidP="00AF213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rPr>
          <w:color w:val="000000"/>
        </w:rPr>
        <w:t>14)</w:t>
      </w:r>
      <w:r>
        <w:rPr>
          <w:color w:val="000000"/>
        </w:rPr>
        <w:tab/>
        <w:t>Allergen notice;</w:t>
      </w:r>
    </w:p>
    <w:p w14:paraId="287E2A6C" w14:textId="77777777" w:rsidR="00AF2136" w:rsidRPr="00986E08" w:rsidRDefault="00AF2136" w:rsidP="00AF2136">
      <w:pPr>
        <w:widowControl w:val="0"/>
        <w:autoSpaceDE w:val="0"/>
        <w:autoSpaceDN w:val="0"/>
        <w:adjustRightInd w:val="0"/>
        <w:rPr>
          <w:color w:val="000000"/>
        </w:rPr>
      </w:pPr>
    </w:p>
    <w:p w14:paraId="0B2E3A38" w14:textId="62F36D60" w:rsidR="00AF2136" w:rsidRDefault="00AF2136" w:rsidP="00AF213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rPr>
          <w:color w:val="000000"/>
        </w:rPr>
        <w:t>15)</w:t>
      </w:r>
      <w:r>
        <w:rPr>
          <w:color w:val="000000"/>
        </w:rPr>
        <w:tab/>
        <w:t>Default beverage for children</w:t>
      </w:r>
      <w:r w:rsidR="00D84908">
        <w:rPr>
          <w:color w:val="000000"/>
        </w:rPr>
        <w:t>'</w:t>
      </w:r>
      <w:r>
        <w:rPr>
          <w:color w:val="000000"/>
        </w:rPr>
        <w:t>s meals;</w:t>
      </w:r>
    </w:p>
    <w:p w14:paraId="077C26AD" w14:textId="77777777" w:rsidR="00AF2136" w:rsidRDefault="00AF2136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40E47465" w14:textId="0E273CB3" w:rsidR="00AF2136" w:rsidRPr="00797191" w:rsidRDefault="00AF2136" w:rsidP="00AF213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rPr>
          <w:color w:val="000000"/>
        </w:rPr>
        <w:lastRenderedPageBreak/>
        <w:t>16)</w:t>
      </w:r>
      <w:r>
        <w:rPr>
          <w:color w:val="000000"/>
        </w:rPr>
        <w:tab/>
        <w:t>Use of nonlatex gloves for food handling or preparation or appropriate signage at point of purchase;</w:t>
      </w:r>
    </w:p>
    <w:p w14:paraId="17520D5A" w14:textId="77777777" w:rsidR="00AF2136" w:rsidRDefault="00AF2136" w:rsidP="00102435">
      <w:pPr>
        <w:pStyle w:val="ListParagraph"/>
        <w:widowControl w:val="0"/>
        <w:autoSpaceDE w:val="0"/>
        <w:autoSpaceDN w:val="0"/>
        <w:adjustRightInd w:val="0"/>
        <w:ind w:left="0"/>
      </w:pPr>
    </w:p>
    <w:p w14:paraId="6D714FFC" w14:textId="28D91E06" w:rsidR="00797191" w:rsidRPr="00797191" w:rsidRDefault="00AF2136" w:rsidP="009574A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t>17</w:t>
      </w:r>
      <w:r w:rsidR="009574A6">
        <w:t>)</w:t>
      </w:r>
      <w:r w:rsidR="009574A6">
        <w:tab/>
      </w:r>
      <w:r w:rsidR="00797191" w:rsidRPr="00797191">
        <w:t>Number of risk factor or intervention violations; and</w:t>
      </w:r>
    </w:p>
    <w:p w14:paraId="2F167600" w14:textId="77777777" w:rsidR="00797191" w:rsidRPr="00797191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14:paraId="0BB9B6CB" w14:textId="2C61A5B8" w:rsidR="00797191" w:rsidRPr="00797191" w:rsidRDefault="00AF2136" w:rsidP="009574A6">
      <w:pPr>
        <w:pStyle w:val="ListParagraph"/>
        <w:widowControl w:val="0"/>
        <w:autoSpaceDE w:val="0"/>
        <w:autoSpaceDN w:val="0"/>
        <w:adjustRightInd w:val="0"/>
        <w:ind w:left="2160" w:hanging="835"/>
        <w:rPr>
          <w:color w:val="000000"/>
        </w:rPr>
      </w:pPr>
      <w:r>
        <w:t>18</w:t>
      </w:r>
      <w:r w:rsidR="009574A6">
        <w:t>)</w:t>
      </w:r>
      <w:r w:rsidR="009574A6">
        <w:tab/>
      </w:r>
      <w:r w:rsidR="00797191" w:rsidRPr="00797191">
        <w:t>Number of repeat risk factor or intervention violations.</w:t>
      </w:r>
    </w:p>
    <w:p w14:paraId="6EA64696" w14:textId="77777777" w:rsidR="00797191" w:rsidRPr="007570FC" w:rsidRDefault="00797191" w:rsidP="00102435">
      <w:pPr>
        <w:pStyle w:val="ListParagraph"/>
        <w:widowControl w:val="0"/>
        <w:autoSpaceDE w:val="0"/>
        <w:autoSpaceDN w:val="0"/>
        <w:adjustRightInd w:val="0"/>
        <w:ind w:left="0"/>
        <w:rPr>
          <w:color w:val="000000"/>
          <w:u w:val="single"/>
        </w:rPr>
      </w:pPr>
    </w:p>
    <w:p w14:paraId="7BEED536" w14:textId="77777777" w:rsidR="00797191" w:rsidRPr="007570FC" w:rsidRDefault="00B541C4" w:rsidP="00797191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  <w:r>
        <w:t>d</w:t>
      </w:r>
      <w:r w:rsidR="00797191" w:rsidRPr="007570FC">
        <w:t>)</w:t>
      </w:r>
      <w:r w:rsidR="00797191" w:rsidRPr="007570FC">
        <w:tab/>
        <w:t xml:space="preserve">All items on the </w:t>
      </w:r>
      <w:r w:rsidR="00797191" w:rsidRPr="00797191">
        <w:t xml:space="preserve">food establishment </w:t>
      </w:r>
      <w:r w:rsidR="00797191" w:rsidRPr="007570FC">
        <w:t xml:space="preserve">inspection report shall be addressed in accordance with this Part.  </w:t>
      </w:r>
      <w:r w:rsidR="00797191" w:rsidRPr="00797191">
        <w:t>Items on the food establishment inspection report shall be marked as in compliance, out of compliance, not observed</w:t>
      </w:r>
      <w:r w:rsidR="00C7025A">
        <w:t>,</w:t>
      </w:r>
      <w:r w:rsidR="00797191" w:rsidRPr="00797191">
        <w:t xml:space="preserve"> or not applicable.  Items shall also be marked as corrected on-site during the inspection or a repeat violation</w:t>
      </w:r>
      <w:r w:rsidR="00C7025A">
        <w:t>,</w:t>
      </w:r>
      <w:r w:rsidR="00797191" w:rsidRPr="00797191">
        <w:t xml:space="preserve"> as applicable.  A scoring system shall not be used.</w:t>
      </w:r>
    </w:p>
    <w:p w14:paraId="1476680A" w14:textId="77777777" w:rsidR="00797191" w:rsidRPr="007570FC" w:rsidRDefault="00797191" w:rsidP="00977A29">
      <w:pPr>
        <w:widowControl w:val="0"/>
        <w:autoSpaceDE w:val="0"/>
        <w:autoSpaceDN w:val="0"/>
        <w:adjustRightInd w:val="0"/>
      </w:pPr>
    </w:p>
    <w:p w14:paraId="1D81FF02" w14:textId="391F6002" w:rsidR="00797191" w:rsidRDefault="00B541C4" w:rsidP="00797191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97191" w:rsidRPr="007570FC">
        <w:t>)</w:t>
      </w:r>
      <w:r w:rsidR="00797191" w:rsidRPr="007570FC">
        <w:tab/>
        <w:t>The regulatory authority shall implement the provisions of this Part</w:t>
      </w:r>
      <w:r w:rsidR="00AF2136">
        <w:t>, as amended,</w:t>
      </w:r>
      <w:r w:rsidR="00797191" w:rsidRPr="007570FC">
        <w:t xml:space="preserve"> by </w:t>
      </w:r>
      <w:r w:rsidR="00797191" w:rsidRPr="006C3BFF">
        <w:t xml:space="preserve">January 1, </w:t>
      </w:r>
      <w:r w:rsidR="00AF2136">
        <w:t>2025</w:t>
      </w:r>
      <w:r w:rsidR="006C3BFF">
        <w:t>.</w:t>
      </w:r>
    </w:p>
    <w:p w14:paraId="39FF25EF" w14:textId="0C5F1F6A" w:rsidR="00AF2136" w:rsidRDefault="00AF2136" w:rsidP="00102435">
      <w:pPr>
        <w:widowControl w:val="0"/>
        <w:autoSpaceDE w:val="0"/>
        <w:autoSpaceDN w:val="0"/>
        <w:adjustRightInd w:val="0"/>
      </w:pPr>
    </w:p>
    <w:p w14:paraId="3844D3F7" w14:textId="1F2F27AC" w:rsidR="00AF2136" w:rsidRDefault="00AF2136" w:rsidP="0079719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DB0C48">
        <w:t>5339</w:t>
      </w:r>
      <w:r w:rsidRPr="00524821">
        <w:t xml:space="preserve">, effective </w:t>
      </w:r>
      <w:r w:rsidR="00DB0C48">
        <w:t>March 22, 2024</w:t>
      </w:r>
      <w:r w:rsidRPr="00524821">
        <w:t>)</w:t>
      </w:r>
    </w:p>
    <w:sectPr w:rsidR="00AF2136" w:rsidSect="007D5F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14F"/>
    <w:multiLevelType w:val="hybridMultilevel"/>
    <w:tmpl w:val="ECD2DB2E"/>
    <w:lvl w:ilvl="0" w:tplc="4C245EDE">
      <w:start w:val="1"/>
      <w:numFmt w:val="lowerRoman"/>
      <w:lvlText w:val="%1)"/>
      <w:lvlJc w:val="left"/>
      <w:pPr>
        <w:ind w:left="2970" w:hanging="72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>
      <w:start w:val="1"/>
      <w:numFmt w:val="lowerRoman"/>
      <w:lvlText w:val="%6."/>
      <w:lvlJc w:val="right"/>
      <w:pPr>
        <w:ind w:left="6210" w:hanging="180"/>
      </w:pPr>
    </w:lvl>
    <w:lvl w:ilvl="6" w:tplc="0409000F">
      <w:start w:val="1"/>
      <w:numFmt w:val="decimal"/>
      <w:lvlText w:val="%7."/>
      <w:lvlJc w:val="left"/>
      <w:pPr>
        <w:ind w:left="6930" w:hanging="360"/>
      </w:pPr>
    </w:lvl>
    <w:lvl w:ilvl="7" w:tplc="04090019">
      <w:start w:val="1"/>
      <w:numFmt w:val="lowerLetter"/>
      <w:lvlText w:val="%8."/>
      <w:lvlJc w:val="left"/>
      <w:pPr>
        <w:ind w:left="7650" w:hanging="360"/>
      </w:pPr>
    </w:lvl>
    <w:lvl w:ilvl="8" w:tplc="0409001B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45045BDD"/>
    <w:multiLevelType w:val="hybridMultilevel"/>
    <w:tmpl w:val="C52E25E0"/>
    <w:lvl w:ilvl="0" w:tplc="5FBC17C2">
      <w:start w:val="1"/>
      <w:numFmt w:val="lowerRoman"/>
      <w:lvlText w:val="%1)"/>
      <w:lvlJc w:val="left"/>
      <w:pPr>
        <w:ind w:left="2880" w:hanging="72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A8A5C03"/>
    <w:multiLevelType w:val="hybridMultilevel"/>
    <w:tmpl w:val="7564F8CA"/>
    <w:lvl w:ilvl="0" w:tplc="E1FAB528">
      <w:start w:val="1"/>
      <w:numFmt w:val="decimal"/>
      <w:lvlText w:val="%1)"/>
      <w:lvlJc w:val="left"/>
      <w:pPr>
        <w:ind w:left="189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FA3"/>
    <w:rsid w:val="00102435"/>
    <w:rsid w:val="00266017"/>
    <w:rsid w:val="003E1C72"/>
    <w:rsid w:val="00446A83"/>
    <w:rsid w:val="005243B8"/>
    <w:rsid w:val="005613DE"/>
    <w:rsid w:val="00561B7B"/>
    <w:rsid w:val="005C3366"/>
    <w:rsid w:val="00616556"/>
    <w:rsid w:val="006C3BFF"/>
    <w:rsid w:val="00797191"/>
    <w:rsid w:val="007D5FA3"/>
    <w:rsid w:val="00863515"/>
    <w:rsid w:val="00926306"/>
    <w:rsid w:val="009574A6"/>
    <w:rsid w:val="00977A29"/>
    <w:rsid w:val="00AE0A7E"/>
    <w:rsid w:val="00AF2136"/>
    <w:rsid w:val="00B541C4"/>
    <w:rsid w:val="00B90283"/>
    <w:rsid w:val="00BF1F42"/>
    <w:rsid w:val="00C7025A"/>
    <w:rsid w:val="00D84908"/>
    <w:rsid w:val="00DB0C48"/>
    <w:rsid w:val="00DE3CFD"/>
    <w:rsid w:val="00DF0D81"/>
    <w:rsid w:val="00EF1649"/>
    <w:rsid w:val="00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77E42C"/>
  <w15:docId w15:val="{AF302D14-5C59-427A-A446-E551C05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191"/>
    <w:pPr>
      <w:ind w:left="720"/>
      <w:contextualSpacing/>
    </w:pPr>
  </w:style>
  <w:style w:type="paragraph" w:customStyle="1" w:styleId="JCARSourceNote">
    <w:name w:val="JCAR Source Note"/>
    <w:basedOn w:val="Normal"/>
    <w:rsid w:val="0079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Shipley, Melissa A.</cp:lastModifiedBy>
  <cp:revision>4</cp:revision>
  <cp:lastPrinted>2019-01-08T15:15:00Z</cp:lastPrinted>
  <dcterms:created xsi:type="dcterms:W3CDTF">2024-03-19T14:14:00Z</dcterms:created>
  <dcterms:modified xsi:type="dcterms:W3CDTF">2024-04-05T13:16:00Z</dcterms:modified>
</cp:coreProperties>
</file>