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5A76" w14:textId="77777777" w:rsidR="00D04CF7" w:rsidRPr="00F623FF" w:rsidRDefault="00D04CF7" w:rsidP="003E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3E9B5" w14:textId="0AEDFED1" w:rsidR="00976C1C" w:rsidRDefault="00976C1C" w:rsidP="003E05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295.2080  Essential Support Persons</w:t>
      </w:r>
    </w:p>
    <w:p w14:paraId="14E99980" w14:textId="77777777" w:rsidR="00976C1C" w:rsidRPr="00F623FF" w:rsidRDefault="00976C1C" w:rsidP="003E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287AF" w14:textId="4AADAB09" w:rsidR="00976C1C" w:rsidRDefault="00976C1C" w:rsidP="003E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establishment shall comply with the Essential Support Person Act.  In the event of a conflict between the provisions of the Essential Support Person Act </w:t>
      </w:r>
      <w:r w:rsidRPr="00DF43D2">
        <w:rPr>
          <w:rFonts w:ascii="Times New Roman" w:hAnsi="Times New Roman" w:cs="Times New Roman"/>
          <w:sz w:val="24"/>
          <w:szCs w:val="24"/>
        </w:rPr>
        <w:t xml:space="preserve">and the activities of daily living provisions in Section 75 of the Act, </w:t>
      </w:r>
      <w:r w:rsidR="00691707">
        <w:rPr>
          <w:rFonts w:ascii="Times New Roman" w:hAnsi="Times New Roman" w:cs="Times New Roman"/>
          <w:sz w:val="24"/>
          <w:szCs w:val="24"/>
        </w:rPr>
        <w:t>the activities of daily living provisions in Section 75 of the Act</w:t>
      </w:r>
      <w:r w:rsidRPr="00DF43D2">
        <w:rPr>
          <w:rFonts w:ascii="Times New Roman" w:hAnsi="Times New Roman" w:cs="Times New Roman"/>
          <w:sz w:val="24"/>
          <w:szCs w:val="24"/>
        </w:rPr>
        <w:t xml:space="preserve"> shall control.</w:t>
      </w:r>
    </w:p>
    <w:p w14:paraId="7F11650C" w14:textId="6511DB87" w:rsidR="000174EB" w:rsidRDefault="000174EB" w:rsidP="003E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08E86" w14:textId="552800F8" w:rsidR="00976C1C" w:rsidRPr="00976C1C" w:rsidRDefault="00976C1C" w:rsidP="003E05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76C1C">
        <w:rPr>
          <w:rFonts w:ascii="Times New Roman" w:hAnsi="Times New Roman" w:cs="Times New Roman"/>
          <w:sz w:val="24"/>
          <w:szCs w:val="24"/>
        </w:rPr>
        <w:t xml:space="preserve">(Source:  Added at 48 Ill. Reg. </w:t>
      </w:r>
      <w:r w:rsidR="00FE0F7A">
        <w:rPr>
          <w:rFonts w:ascii="Times New Roman" w:hAnsi="Times New Roman" w:cs="Times New Roman"/>
          <w:sz w:val="24"/>
          <w:szCs w:val="24"/>
        </w:rPr>
        <w:t>12026</w:t>
      </w:r>
      <w:r w:rsidRPr="00976C1C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FE0F7A">
        <w:rPr>
          <w:rFonts w:ascii="Times New Roman" w:hAnsi="Times New Roman" w:cs="Times New Roman"/>
          <w:sz w:val="24"/>
          <w:szCs w:val="24"/>
        </w:rPr>
        <w:t>July 29, 2024</w:t>
      </w:r>
      <w:r w:rsidRPr="00976C1C">
        <w:rPr>
          <w:rFonts w:ascii="Times New Roman" w:hAnsi="Times New Roman" w:cs="Times New Roman"/>
          <w:sz w:val="24"/>
          <w:szCs w:val="24"/>
        </w:rPr>
        <w:t>)</w:t>
      </w:r>
    </w:p>
    <w:sectPr w:rsidR="00976C1C" w:rsidRPr="00976C1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470D" w14:textId="77777777" w:rsidR="00504F56" w:rsidRDefault="00504F56">
      <w:r>
        <w:separator/>
      </w:r>
    </w:p>
  </w:endnote>
  <w:endnote w:type="continuationSeparator" w:id="0">
    <w:p w14:paraId="36022C2E" w14:textId="77777777" w:rsidR="00504F56" w:rsidRDefault="0050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8C19" w14:textId="77777777" w:rsidR="00504F56" w:rsidRDefault="00504F56">
      <w:r>
        <w:separator/>
      </w:r>
    </w:p>
  </w:footnote>
  <w:footnote w:type="continuationSeparator" w:id="0">
    <w:p w14:paraId="53879198" w14:textId="77777777" w:rsidR="00504F56" w:rsidRDefault="0050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5C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F56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707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3A6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BE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C1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4CF7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17379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3FF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F7A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9BA92"/>
  <w15:chartTrackingRefBased/>
  <w15:docId w15:val="{0E67A927-CEBE-491C-B7BF-C9B8AAEE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C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353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7</cp:revision>
  <dcterms:created xsi:type="dcterms:W3CDTF">2024-08-02T20:00:00Z</dcterms:created>
  <dcterms:modified xsi:type="dcterms:W3CDTF">2025-02-22T22:03:00Z</dcterms:modified>
</cp:coreProperties>
</file>