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2E" w:rsidRDefault="00362B2E" w:rsidP="00362B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B2E" w:rsidRDefault="00362B2E" w:rsidP="00362B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790.20  Pleadings and Practice</w:t>
      </w:r>
      <w:r>
        <w:t xml:space="preserve"> </w:t>
      </w:r>
    </w:p>
    <w:p w:rsidR="00362B2E" w:rsidRDefault="00362B2E" w:rsidP="00362B2E">
      <w:pPr>
        <w:widowControl w:val="0"/>
        <w:autoSpaceDE w:val="0"/>
        <w:autoSpaceDN w:val="0"/>
        <w:adjustRightInd w:val="0"/>
      </w:pPr>
    </w:p>
    <w:p w:rsidR="00362B2E" w:rsidRDefault="00362B2E" w:rsidP="00362B2E">
      <w:pPr>
        <w:widowControl w:val="0"/>
        <w:autoSpaceDE w:val="0"/>
        <w:autoSpaceDN w:val="0"/>
        <w:adjustRightInd w:val="0"/>
      </w:pPr>
      <w:r>
        <w:t xml:space="preserve">Except as otherwise provided by this Part or by the Court of Claims Act [705 ILCS 505], pleadings and practice shall follow the Civil Practice Law [735 ILCS 5/Art II] and the Rules of the Supreme Court of Illinois. </w:t>
      </w:r>
    </w:p>
    <w:p w:rsidR="00362B2E" w:rsidRDefault="00362B2E" w:rsidP="00362B2E">
      <w:pPr>
        <w:widowControl w:val="0"/>
        <w:autoSpaceDE w:val="0"/>
        <w:autoSpaceDN w:val="0"/>
        <w:adjustRightInd w:val="0"/>
      </w:pPr>
    </w:p>
    <w:p w:rsidR="00362B2E" w:rsidRDefault="00362B2E" w:rsidP="00362B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8228, effective July 1, 2000) </w:t>
      </w:r>
    </w:p>
    <w:sectPr w:rsidR="00362B2E" w:rsidSect="00362B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B2E"/>
    <w:rsid w:val="00362B2E"/>
    <w:rsid w:val="00485C26"/>
    <w:rsid w:val="005C3366"/>
    <w:rsid w:val="007F4FE1"/>
    <w:rsid w:val="00D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