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7A" w:rsidRDefault="00D7487A" w:rsidP="00D748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487A" w:rsidRDefault="00D7487A" w:rsidP="00D7487A">
      <w:pPr>
        <w:widowControl w:val="0"/>
        <w:autoSpaceDE w:val="0"/>
        <w:autoSpaceDN w:val="0"/>
        <w:adjustRightInd w:val="0"/>
      </w:pPr>
      <w:r>
        <w:t xml:space="preserve">AUTHORITY:  Implementing and authorized by Section 2-12(c)(1) of the Illinois State Auditing Act (Ill. Rev. Stat. 1983, ch. 15, par. 302-12(c)(1)), as now or hereafter amended. </w:t>
      </w:r>
    </w:p>
    <w:sectPr w:rsidR="00D7487A" w:rsidSect="00D748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487A"/>
    <w:rsid w:val="00567A0D"/>
    <w:rsid w:val="005C3366"/>
    <w:rsid w:val="00612366"/>
    <w:rsid w:val="00D7487A"/>
    <w:rsid w:val="00FE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2-12(c)(1) of the Illinois State Auditing Act (Ill</vt:lpstr>
    </vt:vector>
  </TitlesOfParts>
  <Company>State of Illinois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2-12(c)(1) of the Illinois State Auditing Act (Ill</dc:title>
  <dc:subject/>
  <dc:creator>Illinois General Assembly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