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E3" w:rsidRDefault="00DB0BE3" w:rsidP="00DB0B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BE3" w:rsidRDefault="00DB0BE3" w:rsidP="00DB0BE3">
      <w:pPr>
        <w:widowControl w:val="0"/>
        <w:autoSpaceDE w:val="0"/>
        <w:autoSpaceDN w:val="0"/>
        <w:adjustRightInd w:val="0"/>
      </w:pPr>
      <w:r>
        <w:t xml:space="preserve">AUTHORITY:  Authorized by Section 21 of the State Comptroller Act (Ill. Rev. Stat., 1979, ch. 15, par. 221) and implementing Section 9 of the State Comptroller Act (Ill. Rev. Stat., 1979, ch. 15, par. 209). </w:t>
      </w:r>
    </w:p>
    <w:sectPr w:rsidR="00DB0BE3" w:rsidSect="00DB0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BE3"/>
    <w:rsid w:val="002F4299"/>
    <w:rsid w:val="003D2885"/>
    <w:rsid w:val="005C3366"/>
    <w:rsid w:val="00DB0BE3"/>
    <w:rsid w:val="00D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21 of the State Comptroller Act (Ill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21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