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B4" w:rsidRDefault="006F68B4" w:rsidP="006F68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68B4" w:rsidRDefault="006F68B4" w:rsidP="006F68B4">
      <w:pPr>
        <w:widowControl w:val="0"/>
        <w:autoSpaceDE w:val="0"/>
        <w:autoSpaceDN w:val="0"/>
        <w:adjustRightInd w:val="0"/>
        <w:jc w:val="center"/>
      </w:pPr>
      <w:r>
        <w:t>PART 50</w:t>
      </w:r>
    </w:p>
    <w:p w:rsidR="006F68B4" w:rsidRDefault="006F68B4" w:rsidP="006F68B4">
      <w:pPr>
        <w:widowControl w:val="0"/>
        <w:autoSpaceDE w:val="0"/>
        <w:autoSpaceDN w:val="0"/>
        <w:adjustRightInd w:val="0"/>
        <w:jc w:val="center"/>
      </w:pPr>
      <w:r>
        <w:t>BONDING GUIDELINES</w:t>
      </w:r>
    </w:p>
    <w:sectPr w:rsidR="006F68B4" w:rsidSect="006F68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68B4"/>
    <w:rsid w:val="005C3366"/>
    <w:rsid w:val="006F68B4"/>
    <w:rsid w:val="00A9091E"/>
    <w:rsid w:val="00BF1016"/>
    <w:rsid w:val="00EA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50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50</dc:title>
  <dc:subject/>
  <dc:creator>Illinois General Assembly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