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01" w:rsidRDefault="00DE2401" w:rsidP="00DE2401">
      <w:pPr>
        <w:rPr>
          <w:b/>
        </w:rPr>
      </w:pPr>
    </w:p>
    <w:p w:rsidR="00DE2401" w:rsidRPr="00DE2401" w:rsidRDefault="00DE2401" w:rsidP="00DE2401">
      <w:pPr>
        <w:rPr>
          <w:b/>
        </w:rPr>
      </w:pPr>
      <w:r w:rsidRPr="00DE2401">
        <w:rPr>
          <w:b/>
        </w:rPr>
        <w:t>Section 1452.70  Change of Ownership</w:t>
      </w:r>
    </w:p>
    <w:p w:rsidR="00DE2401" w:rsidRPr="00DE2401" w:rsidRDefault="00DE2401" w:rsidP="00DE2401"/>
    <w:p w:rsidR="00DE2401" w:rsidRPr="00DE2401" w:rsidRDefault="00DE2401" w:rsidP="00DE2401">
      <w:pPr>
        <w:ind w:left="1440" w:hanging="720"/>
      </w:pPr>
      <w:r w:rsidRPr="00DE2401">
        <w:t>a)</w:t>
      </w:r>
      <w:r w:rsidRPr="00DE2401">
        <w:tab/>
        <w:t xml:space="preserve">No later than 30 calendar days after the effective date of a change of ownership of an appraisal management company registered under </w:t>
      </w:r>
      <w:r w:rsidR="00901B3E">
        <w:t xml:space="preserve">the </w:t>
      </w:r>
      <w:bookmarkStart w:id="0" w:name="_GoBack"/>
      <w:bookmarkEnd w:id="0"/>
      <w:r w:rsidRPr="00DE2401">
        <w:t>Act, a new application shall be filed with the Division in accordance with Section 1452.20.</w:t>
      </w:r>
    </w:p>
    <w:p w:rsidR="00DE2401" w:rsidRPr="00DE2401" w:rsidRDefault="00DE2401" w:rsidP="00DE2401"/>
    <w:p w:rsidR="00DE2401" w:rsidRPr="00DE2401" w:rsidRDefault="00DE2401" w:rsidP="00DE2401">
      <w:pPr>
        <w:ind w:firstLine="720"/>
      </w:pPr>
      <w:r w:rsidRPr="00DE2401">
        <w:t>b)</w:t>
      </w:r>
      <w:r w:rsidRPr="00DE2401">
        <w:tab/>
        <w:t>Change of ownership is defined as, but not limited to:</w:t>
      </w:r>
    </w:p>
    <w:p w:rsidR="00DE2401" w:rsidRPr="00DE2401" w:rsidRDefault="00DE2401" w:rsidP="00DE2401"/>
    <w:p w:rsidR="00DE2401" w:rsidRPr="00DE2401" w:rsidRDefault="00DE2401" w:rsidP="00DE2401">
      <w:pPr>
        <w:ind w:left="2160" w:hanging="720"/>
      </w:pPr>
      <w:r w:rsidRPr="00DE2401">
        <w:t>1)</w:t>
      </w:r>
      <w:r w:rsidRPr="00DE2401">
        <w:tab/>
        <w:t>When an unaffiliated person, partnership, corporation, limited liability company or other legal entity comes to obtain 51% ownership or ownership interest of the appraisal management company after initial registration; or</w:t>
      </w:r>
    </w:p>
    <w:p w:rsidR="00DE2401" w:rsidRPr="00DE2401" w:rsidRDefault="00DE2401" w:rsidP="00DE2401"/>
    <w:p w:rsidR="00DE2401" w:rsidRPr="00DE2401" w:rsidRDefault="00DE2401" w:rsidP="00DE2401">
      <w:pPr>
        <w:ind w:left="720" w:firstLine="720"/>
      </w:pPr>
      <w:r w:rsidRPr="00DE2401">
        <w:t>2)</w:t>
      </w:r>
      <w:r w:rsidRPr="00DE2401">
        <w:tab/>
        <w:t>Change in the legal form under which the controlling entity is organized.</w:t>
      </w:r>
    </w:p>
    <w:sectPr w:rsidR="00DE2401" w:rsidRPr="00DE240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DB6" w:rsidRDefault="00DE5DB6">
      <w:r>
        <w:separator/>
      </w:r>
    </w:p>
  </w:endnote>
  <w:endnote w:type="continuationSeparator" w:id="0">
    <w:p w:rsidR="00DE5DB6" w:rsidRDefault="00DE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DB6" w:rsidRDefault="00DE5DB6">
      <w:r>
        <w:separator/>
      </w:r>
    </w:p>
  </w:footnote>
  <w:footnote w:type="continuationSeparator" w:id="0">
    <w:p w:rsidR="00DE5DB6" w:rsidRDefault="00DE5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B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5F37EF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5ED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1B3E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2401"/>
    <w:rsid w:val="00DE3439"/>
    <w:rsid w:val="00DE42D9"/>
    <w:rsid w:val="00DE5010"/>
    <w:rsid w:val="00DE5DB6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27D8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DE5DB6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DE5DB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E5DB6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DE5DB6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DE5DB6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DE5DB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E5DB6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DE5DB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6</cp:revision>
  <dcterms:created xsi:type="dcterms:W3CDTF">2012-08-08T20:39:00Z</dcterms:created>
  <dcterms:modified xsi:type="dcterms:W3CDTF">2012-08-20T17:29:00Z</dcterms:modified>
</cp:coreProperties>
</file>