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14" w:rsidRDefault="008A1514" w:rsidP="008A15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1514" w:rsidRDefault="008A1514" w:rsidP="008A15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1816.180  Utility Installations</w:t>
      </w:r>
      <w:r>
        <w:t xml:space="preserve"> </w:t>
      </w:r>
    </w:p>
    <w:p w:rsidR="008A1514" w:rsidRDefault="008A1514" w:rsidP="008A1514">
      <w:pPr>
        <w:widowControl w:val="0"/>
        <w:autoSpaceDE w:val="0"/>
        <w:autoSpaceDN w:val="0"/>
        <w:adjustRightInd w:val="0"/>
      </w:pPr>
    </w:p>
    <w:p w:rsidR="008A1514" w:rsidRDefault="008A1514" w:rsidP="008A1514">
      <w:pPr>
        <w:widowControl w:val="0"/>
        <w:autoSpaceDE w:val="0"/>
        <w:autoSpaceDN w:val="0"/>
        <w:adjustRightInd w:val="0"/>
      </w:pPr>
      <w:r>
        <w:t xml:space="preserve">All surface coal mining operations shall be conducted in a manner which minimizes damage, destruction, or disruption of services provided by oil, gas, and water wells; oil, gas, and coal-slurry pipelines; railroads; electric and telephone lines; and water and sewage lines which pass over, under, or through the permit area, unless otherwise approved by the owner of those facilities and the Department. </w:t>
      </w:r>
    </w:p>
    <w:p w:rsidR="004571BA" w:rsidRDefault="004571BA" w:rsidP="008A1514">
      <w:pPr>
        <w:widowControl w:val="0"/>
        <w:autoSpaceDE w:val="0"/>
        <w:autoSpaceDN w:val="0"/>
        <w:adjustRightInd w:val="0"/>
      </w:pPr>
    </w:p>
    <w:p w:rsidR="008A1514" w:rsidRDefault="008A1514" w:rsidP="008A15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8131, effective July 1, 1987) </w:t>
      </w:r>
    </w:p>
    <w:sectPr w:rsidR="008A1514" w:rsidSect="008A15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514"/>
    <w:rsid w:val="003335D2"/>
    <w:rsid w:val="004571BA"/>
    <w:rsid w:val="004F08B2"/>
    <w:rsid w:val="005C3366"/>
    <w:rsid w:val="008A1514"/>
    <w:rsid w:val="00C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