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C5" w:rsidRDefault="009D70C5" w:rsidP="009D70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70C5" w:rsidRDefault="009D70C5" w:rsidP="009D70C5">
      <w:pPr>
        <w:widowControl w:val="0"/>
        <w:autoSpaceDE w:val="0"/>
        <w:autoSpaceDN w:val="0"/>
        <w:adjustRightInd w:val="0"/>
        <w:jc w:val="center"/>
      </w:pPr>
      <w:r>
        <w:t>PART 1801</w:t>
      </w:r>
    </w:p>
    <w:p w:rsidR="009D70C5" w:rsidRDefault="009D70C5" w:rsidP="009D70C5">
      <w:pPr>
        <w:widowControl w:val="0"/>
        <w:autoSpaceDE w:val="0"/>
        <w:autoSpaceDN w:val="0"/>
        <w:adjustRightInd w:val="0"/>
        <w:jc w:val="center"/>
      </w:pPr>
      <w:r>
        <w:t>BONDING REQUIREMENTS FOR UNDERGROUND COAL MINES,</w:t>
      </w:r>
    </w:p>
    <w:p w:rsidR="009D70C5" w:rsidRDefault="009D70C5" w:rsidP="009D70C5">
      <w:pPr>
        <w:widowControl w:val="0"/>
        <w:autoSpaceDE w:val="0"/>
        <w:autoSpaceDN w:val="0"/>
        <w:adjustRightInd w:val="0"/>
        <w:jc w:val="center"/>
      </w:pPr>
      <w:r>
        <w:t>COAL-PROCESSING PLANTS, ASSOCIATED STRUCTURES, AND OTHER</w:t>
      </w:r>
    </w:p>
    <w:p w:rsidR="009D70C5" w:rsidRDefault="009D70C5" w:rsidP="009D70C5">
      <w:pPr>
        <w:widowControl w:val="0"/>
        <w:autoSpaceDE w:val="0"/>
        <w:autoSpaceDN w:val="0"/>
        <w:adjustRightInd w:val="0"/>
        <w:jc w:val="center"/>
      </w:pPr>
      <w:r>
        <w:t>COAL-RELATED LONG-TERM FACILITIES AND STRUCTURES (REPEALED)</w:t>
      </w:r>
    </w:p>
    <w:p w:rsidR="009D70C5" w:rsidRDefault="009D70C5" w:rsidP="009D70C5">
      <w:pPr>
        <w:widowControl w:val="0"/>
        <w:autoSpaceDE w:val="0"/>
        <w:autoSpaceDN w:val="0"/>
        <w:adjustRightInd w:val="0"/>
      </w:pPr>
    </w:p>
    <w:sectPr w:rsidR="009D70C5" w:rsidSect="009D7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0C5"/>
    <w:rsid w:val="00524876"/>
    <w:rsid w:val="005C3366"/>
    <w:rsid w:val="009D70C5"/>
    <w:rsid w:val="00D115F8"/>
    <w:rsid w:val="00E4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1801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