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468" w:rsidRPr="001C3C2E" w:rsidRDefault="00340468" w:rsidP="00340468">
      <w:pPr>
        <w:tabs>
          <w:tab w:val="left" w:pos="720"/>
        </w:tabs>
        <w:autoSpaceDE w:val="0"/>
        <w:autoSpaceDN w:val="0"/>
        <w:adjustRightInd w:val="0"/>
        <w:ind w:left="720" w:hanging="720"/>
      </w:pPr>
      <w:bookmarkStart w:id="0" w:name="_GoBack"/>
      <w:bookmarkEnd w:id="0"/>
    </w:p>
    <w:p w:rsidR="00340468" w:rsidRPr="00BD249B" w:rsidRDefault="00340468" w:rsidP="00340468">
      <w:pPr>
        <w:tabs>
          <w:tab w:val="left" w:pos="720"/>
        </w:tabs>
        <w:rPr>
          <w:b/>
        </w:rPr>
      </w:pPr>
      <w:r w:rsidRPr="00BD249B">
        <w:rPr>
          <w:b/>
        </w:rPr>
        <w:t>Section 245.845  Management of Gas and Produced Hydrocarbons During Flowback</w:t>
      </w:r>
    </w:p>
    <w:p w:rsidR="00340468" w:rsidRPr="001C3C2E" w:rsidRDefault="00340468" w:rsidP="00CB323E">
      <w:pPr>
        <w:tabs>
          <w:tab w:val="left" w:pos="9360"/>
        </w:tabs>
        <w:rPr>
          <w:b/>
          <w:u w:val="single"/>
        </w:rPr>
      </w:pPr>
    </w:p>
    <w:p w:rsidR="00340468" w:rsidRPr="001C3C2E" w:rsidRDefault="00340468" w:rsidP="00CB323E">
      <w:pPr>
        <w:tabs>
          <w:tab w:val="left" w:pos="9360"/>
        </w:tabs>
        <w:autoSpaceDE w:val="0"/>
        <w:autoSpaceDN w:val="0"/>
        <w:adjustRightInd w:val="0"/>
      </w:pPr>
      <w:r w:rsidRPr="00BD249B">
        <w:t>For wells regulated by this Part,</w:t>
      </w:r>
      <w:r w:rsidRPr="001C3C2E">
        <w:t xml:space="preserve"> </w:t>
      </w:r>
      <w:r w:rsidRPr="00BD249B">
        <w:rPr>
          <w:i/>
        </w:rPr>
        <w:t>permittees shall be responsible for managing</w:t>
      </w:r>
      <w:r>
        <w:t xml:space="preserve"> </w:t>
      </w:r>
      <w:r w:rsidRPr="00BD249B">
        <w:t>natural</w:t>
      </w:r>
      <w:r w:rsidRPr="001C3C2E">
        <w:t xml:space="preserve"> </w:t>
      </w:r>
      <w:r w:rsidRPr="00BD249B">
        <w:rPr>
          <w:i/>
        </w:rPr>
        <w:t>gas and hydrocarbon fluids produced during the flowback period</w:t>
      </w:r>
      <w:r w:rsidRPr="001C3C2E">
        <w:t xml:space="preserve"> </w:t>
      </w:r>
      <w:r w:rsidRPr="00BD249B">
        <w:t>to ensure no direct release to the atmosphere or environment as follows:</w:t>
      </w:r>
    </w:p>
    <w:p w:rsidR="00340468" w:rsidRPr="001C3C2E" w:rsidRDefault="00340468" w:rsidP="00CB323E">
      <w:pPr>
        <w:tabs>
          <w:tab w:val="left" w:pos="9360"/>
        </w:tabs>
        <w:autoSpaceDE w:val="0"/>
        <w:autoSpaceDN w:val="0"/>
        <w:adjustRightInd w:val="0"/>
        <w:ind w:left="1440" w:hanging="720"/>
      </w:pPr>
    </w:p>
    <w:p w:rsidR="00340468" w:rsidRPr="001C3C2E" w:rsidRDefault="00340468" w:rsidP="00CB323E">
      <w:pPr>
        <w:tabs>
          <w:tab w:val="left" w:pos="9360"/>
        </w:tabs>
        <w:autoSpaceDE w:val="0"/>
        <w:autoSpaceDN w:val="0"/>
        <w:adjustRightInd w:val="0"/>
        <w:ind w:left="1440" w:hanging="720"/>
      </w:pPr>
      <w:r w:rsidRPr="00BD249B">
        <w:t>a)</w:t>
      </w:r>
      <w:r w:rsidRPr="001C3C2E">
        <w:tab/>
      </w:r>
      <w:r w:rsidRPr="00BD249B">
        <w:t>Except for wells covered by subsection (</w:t>
      </w:r>
      <w:r w:rsidR="00E17EE2">
        <w:t>f</w:t>
      </w:r>
      <w:r w:rsidRPr="00BD249B">
        <w:t>),</w:t>
      </w:r>
      <w:r>
        <w:t xml:space="preserve"> </w:t>
      </w:r>
      <w:r w:rsidRPr="00BD249B">
        <w:rPr>
          <w:i/>
        </w:rPr>
        <w:t>recovered hydrocarbon fluids</w:t>
      </w:r>
      <w:r w:rsidRPr="001C3C2E">
        <w:t xml:space="preserve"> </w:t>
      </w:r>
      <w:r w:rsidRPr="00BD249B">
        <w:t>shall be:</w:t>
      </w:r>
    </w:p>
    <w:p w:rsidR="00340468" w:rsidRPr="001C3C2E" w:rsidRDefault="00340468" w:rsidP="00CB323E">
      <w:pPr>
        <w:tabs>
          <w:tab w:val="left" w:pos="9360"/>
        </w:tabs>
        <w:autoSpaceDE w:val="0"/>
        <w:autoSpaceDN w:val="0"/>
        <w:adjustRightInd w:val="0"/>
        <w:ind w:left="1440" w:hanging="720"/>
      </w:pPr>
    </w:p>
    <w:p w:rsidR="00340468" w:rsidRPr="001C3C2E" w:rsidRDefault="00340468" w:rsidP="00CB323E">
      <w:pPr>
        <w:tabs>
          <w:tab w:val="left" w:pos="9360"/>
        </w:tabs>
        <w:autoSpaceDE w:val="0"/>
        <w:autoSpaceDN w:val="0"/>
        <w:adjustRightInd w:val="0"/>
        <w:ind w:left="2160" w:hanging="720"/>
      </w:pPr>
      <w:r w:rsidRPr="00BD249B">
        <w:t>1)</w:t>
      </w:r>
      <w:r w:rsidR="00CB323E">
        <w:tab/>
      </w:r>
      <w:r w:rsidRPr="00BD249B">
        <w:t>Routed</w:t>
      </w:r>
      <w:r w:rsidRPr="001C3C2E">
        <w:t xml:space="preserve"> </w:t>
      </w:r>
      <w:r w:rsidRPr="00BD249B">
        <w:rPr>
          <w:i/>
        </w:rPr>
        <w:t>to one or more storage vessels</w:t>
      </w:r>
      <w:r w:rsidRPr="00BD249B">
        <w:t>; or</w:t>
      </w:r>
    </w:p>
    <w:p w:rsidR="00340468" w:rsidRPr="001C3C2E" w:rsidRDefault="00340468" w:rsidP="00CB323E">
      <w:pPr>
        <w:tabs>
          <w:tab w:val="left" w:pos="9360"/>
        </w:tabs>
        <w:autoSpaceDE w:val="0"/>
        <w:autoSpaceDN w:val="0"/>
        <w:adjustRightInd w:val="0"/>
        <w:ind w:left="2160" w:hanging="720"/>
        <w:rPr>
          <w:u w:val="single"/>
        </w:rPr>
      </w:pPr>
    </w:p>
    <w:p w:rsidR="00340468" w:rsidRPr="001C3C2E" w:rsidRDefault="00340468" w:rsidP="00CB323E">
      <w:pPr>
        <w:tabs>
          <w:tab w:val="left" w:pos="9360"/>
        </w:tabs>
        <w:autoSpaceDE w:val="0"/>
        <w:autoSpaceDN w:val="0"/>
        <w:adjustRightInd w:val="0"/>
        <w:ind w:left="2160" w:hanging="720"/>
      </w:pPr>
      <w:r w:rsidRPr="00BD249B">
        <w:t>2)</w:t>
      </w:r>
      <w:r w:rsidRPr="001C3C2E">
        <w:tab/>
      </w:r>
      <w:r w:rsidRPr="000C1C86">
        <w:rPr>
          <w:i/>
        </w:rPr>
        <w:t>Injected into</w:t>
      </w:r>
      <w:r w:rsidRPr="001C3C2E">
        <w:t xml:space="preserve"> </w:t>
      </w:r>
      <w:r w:rsidRPr="000C1C86">
        <w:t>a permitted Class II UIC</w:t>
      </w:r>
      <w:r w:rsidRPr="001C3C2E">
        <w:t xml:space="preserve"> </w:t>
      </w:r>
      <w:r w:rsidRPr="000C1C86">
        <w:rPr>
          <w:i/>
        </w:rPr>
        <w:t>well</w:t>
      </w:r>
      <w:r w:rsidRPr="001C3C2E">
        <w:t xml:space="preserve"> </w:t>
      </w:r>
      <w:r w:rsidRPr="000C1C86">
        <w:t>as described in Section 245.300(c)(7);</w:t>
      </w:r>
      <w:r>
        <w:t xml:space="preserve"> </w:t>
      </w:r>
      <w:r w:rsidR="00FB156F">
        <w:t>or</w:t>
      </w:r>
    </w:p>
    <w:p w:rsidR="00340468" w:rsidRPr="001C3C2E" w:rsidRDefault="00340468" w:rsidP="00CB323E">
      <w:pPr>
        <w:tabs>
          <w:tab w:val="left" w:pos="9360"/>
        </w:tabs>
        <w:autoSpaceDE w:val="0"/>
        <w:autoSpaceDN w:val="0"/>
        <w:adjustRightInd w:val="0"/>
        <w:ind w:left="2160" w:hanging="720"/>
        <w:rPr>
          <w:u w:val="single"/>
        </w:rPr>
      </w:pPr>
    </w:p>
    <w:p w:rsidR="00340468" w:rsidRPr="001C3C2E" w:rsidRDefault="00340468" w:rsidP="00CB323E">
      <w:pPr>
        <w:tabs>
          <w:tab w:val="left" w:pos="9360"/>
        </w:tabs>
        <w:autoSpaceDE w:val="0"/>
        <w:autoSpaceDN w:val="0"/>
        <w:adjustRightInd w:val="0"/>
        <w:ind w:left="2160" w:hanging="720"/>
      </w:pPr>
      <w:r w:rsidRPr="000C1C86">
        <w:t>3)</w:t>
      </w:r>
      <w:r w:rsidRPr="001C3C2E">
        <w:tab/>
      </w:r>
      <w:r w:rsidRPr="000C1C86">
        <w:t>Used for another lawful and useful purpose that a purchased fuel or raw material would serve, with no direct release to the environment.</w:t>
      </w:r>
    </w:p>
    <w:p w:rsidR="00340468" w:rsidRPr="001C3C2E" w:rsidRDefault="00340468" w:rsidP="00B112C7">
      <w:pPr>
        <w:ind w:left="720"/>
      </w:pPr>
    </w:p>
    <w:p w:rsidR="00340468" w:rsidRPr="001C3C2E" w:rsidRDefault="00340468" w:rsidP="00B112C7">
      <w:pPr>
        <w:ind w:left="720"/>
      </w:pPr>
      <w:r w:rsidRPr="000C1C86">
        <w:t>b)</w:t>
      </w:r>
      <w:r w:rsidRPr="001C3C2E">
        <w:tab/>
      </w:r>
      <w:r w:rsidRPr="000C1C86">
        <w:t>Except for wells covered by subsection (e),</w:t>
      </w:r>
      <w:r>
        <w:t xml:space="preserve"> </w:t>
      </w:r>
      <w:r w:rsidRPr="000C1C86">
        <w:rPr>
          <w:i/>
        </w:rPr>
        <w:t>recovered natural gas</w:t>
      </w:r>
      <w:r w:rsidRPr="001C3C2E">
        <w:t xml:space="preserve"> </w:t>
      </w:r>
      <w:r w:rsidRPr="000C1C86">
        <w:t>shall be:</w:t>
      </w:r>
    </w:p>
    <w:p w:rsidR="00340468" w:rsidRPr="001C3C2E" w:rsidRDefault="00340468" w:rsidP="00B112C7"/>
    <w:p w:rsidR="00340468" w:rsidRDefault="00340468" w:rsidP="00CB323E">
      <w:pPr>
        <w:tabs>
          <w:tab w:val="left" w:pos="1440"/>
          <w:tab w:val="left" w:pos="9360"/>
        </w:tabs>
        <w:autoSpaceDE w:val="0"/>
        <w:autoSpaceDN w:val="0"/>
        <w:adjustRightInd w:val="0"/>
        <w:ind w:left="2160" w:hanging="720"/>
      </w:pPr>
      <w:r w:rsidRPr="000C1C86">
        <w:t>1)</w:t>
      </w:r>
      <w:r w:rsidRPr="000C1C86">
        <w:tab/>
        <w:t>Routed</w:t>
      </w:r>
      <w:r w:rsidRPr="001C3C2E">
        <w:t xml:space="preserve"> </w:t>
      </w:r>
      <w:r w:rsidRPr="000C1C86">
        <w:rPr>
          <w:i/>
        </w:rPr>
        <w:t>into a flow line or collection system</w:t>
      </w:r>
      <w:r w:rsidR="00FB156F">
        <w:rPr>
          <w:i/>
        </w:rPr>
        <w:t>;</w:t>
      </w:r>
      <w:r w:rsidRPr="00960E3A">
        <w:t xml:space="preserve"> </w:t>
      </w:r>
      <w:r w:rsidRPr="000C1C86">
        <w:t>or</w:t>
      </w:r>
    </w:p>
    <w:p w:rsidR="00340468" w:rsidRDefault="00340468" w:rsidP="00CB323E">
      <w:pPr>
        <w:tabs>
          <w:tab w:val="left" w:pos="1440"/>
          <w:tab w:val="left" w:pos="9360"/>
        </w:tabs>
        <w:autoSpaceDE w:val="0"/>
        <w:autoSpaceDN w:val="0"/>
        <w:adjustRightInd w:val="0"/>
        <w:ind w:left="2160" w:hanging="720"/>
      </w:pPr>
    </w:p>
    <w:p w:rsidR="00340468" w:rsidRPr="001C3C2E" w:rsidRDefault="00340468" w:rsidP="00CB323E">
      <w:pPr>
        <w:tabs>
          <w:tab w:val="left" w:pos="1440"/>
          <w:tab w:val="left" w:pos="9360"/>
        </w:tabs>
        <w:autoSpaceDE w:val="0"/>
        <w:autoSpaceDN w:val="0"/>
        <w:adjustRightInd w:val="0"/>
        <w:ind w:left="2160" w:hanging="720"/>
      </w:pPr>
      <w:r w:rsidRPr="000C1C86">
        <w:t>2)</w:t>
      </w:r>
      <w:r w:rsidRPr="001C3C2E">
        <w:tab/>
      </w:r>
      <w:r w:rsidRPr="007B403C">
        <w:rPr>
          <w:i/>
        </w:rPr>
        <w:t>I</w:t>
      </w:r>
      <w:r w:rsidRPr="000C1C86">
        <w:rPr>
          <w:i/>
        </w:rPr>
        <w:t>nject</w:t>
      </w:r>
      <w:r w:rsidRPr="007B403C">
        <w:rPr>
          <w:i/>
        </w:rPr>
        <w:t>ed</w:t>
      </w:r>
      <w:r w:rsidRPr="000C1C86">
        <w:rPr>
          <w:i/>
        </w:rPr>
        <w:t xml:space="preserve"> into</w:t>
      </w:r>
      <w:r w:rsidRPr="001C3C2E">
        <w:t xml:space="preserve"> </w:t>
      </w:r>
      <w:r w:rsidRPr="000C1C86">
        <w:t>a permitted Class II UIC</w:t>
      </w:r>
      <w:r w:rsidRPr="001C3C2E">
        <w:t xml:space="preserve"> </w:t>
      </w:r>
      <w:r w:rsidRPr="000C1C86">
        <w:rPr>
          <w:i/>
        </w:rPr>
        <w:t>well</w:t>
      </w:r>
      <w:r w:rsidRPr="001C3C2E">
        <w:t xml:space="preserve"> </w:t>
      </w:r>
      <w:r w:rsidRPr="000C1C86">
        <w:t>as described in Section 245.300(c)(7)</w:t>
      </w:r>
      <w:r w:rsidR="00FB156F">
        <w:t>;</w:t>
      </w:r>
      <w:r w:rsidRPr="000C1C86">
        <w:t xml:space="preserve"> or</w:t>
      </w:r>
    </w:p>
    <w:p w:rsidR="00340468" w:rsidRPr="001C3C2E" w:rsidRDefault="00340468" w:rsidP="00CB323E">
      <w:pPr>
        <w:tabs>
          <w:tab w:val="left" w:pos="9360"/>
        </w:tabs>
        <w:autoSpaceDE w:val="0"/>
        <w:autoSpaceDN w:val="0"/>
        <w:adjustRightInd w:val="0"/>
        <w:ind w:left="720" w:hanging="720"/>
        <w:rPr>
          <w:u w:val="single"/>
        </w:rPr>
      </w:pPr>
    </w:p>
    <w:p w:rsidR="00340468" w:rsidRPr="001C3C2E" w:rsidRDefault="00340468" w:rsidP="00CB323E">
      <w:pPr>
        <w:tabs>
          <w:tab w:val="left" w:pos="9360"/>
        </w:tabs>
        <w:autoSpaceDE w:val="0"/>
        <w:autoSpaceDN w:val="0"/>
        <w:adjustRightInd w:val="0"/>
        <w:ind w:left="2160" w:hanging="720"/>
      </w:pPr>
      <w:r w:rsidRPr="000C1C86">
        <w:t>3)</w:t>
      </w:r>
      <w:r w:rsidRPr="001C3C2E">
        <w:tab/>
      </w:r>
      <w:r w:rsidRPr="000C1C86">
        <w:rPr>
          <w:i/>
        </w:rPr>
        <w:t>Used as an on-site fuel source</w:t>
      </w:r>
      <w:r w:rsidR="00FB156F">
        <w:rPr>
          <w:i/>
        </w:rPr>
        <w:t>;</w:t>
      </w:r>
      <w:r w:rsidRPr="000C1C86">
        <w:rPr>
          <w:i/>
        </w:rPr>
        <w:t xml:space="preserve"> or</w:t>
      </w:r>
      <w:r>
        <w:t xml:space="preserve"> </w:t>
      </w:r>
    </w:p>
    <w:p w:rsidR="00340468" w:rsidRPr="001C3C2E" w:rsidRDefault="00340468" w:rsidP="00CB323E">
      <w:pPr>
        <w:tabs>
          <w:tab w:val="left" w:pos="9360"/>
        </w:tabs>
        <w:autoSpaceDE w:val="0"/>
        <w:autoSpaceDN w:val="0"/>
        <w:adjustRightInd w:val="0"/>
        <w:ind w:left="720" w:hanging="720"/>
        <w:rPr>
          <w:u w:val="single"/>
        </w:rPr>
      </w:pPr>
    </w:p>
    <w:p w:rsidR="00340468" w:rsidRPr="001C3C2E" w:rsidRDefault="00340468" w:rsidP="00CB323E">
      <w:pPr>
        <w:tabs>
          <w:tab w:val="left" w:pos="9360"/>
        </w:tabs>
        <w:autoSpaceDE w:val="0"/>
        <w:autoSpaceDN w:val="0"/>
        <w:adjustRightInd w:val="0"/>
        <w:ind w:left="2160" w:hanging="720"/>
      </w:pPr>
      <w:r w:rsidRPr="000C1C86">
        <w:t>4)</w:t>
      </w:r>
      <w:r w:rsidRPr="001C3C2E">
        <w:tab/>
      </w:r>
      <w:r w:rsidRPr="000C1C86">
        <w:rPr>
          <w:i/>
        </w:rPr>
        <w:t>Used for another</w:t>
      </w:r>
      <w:r w:rsidRPr="001C3C2E">
        <w:t xml:space="preserve"> </w:t>
      </w:r>
      <w:r w:rsidRPr="000C1C86">
        <w:t>lawful and</w:t>
      </w:r>
      <w:r w:rsidRPr="001C3C2E">
        <w:t xml:space="preserve"> </w:t>
      </w:r>
      <w:r w:rsidRPr="000C1C86">
        <w:rPr>
          <w:i/>
        </w:rPr>
        <w:t>useful purpose that a purchased fuel or raw material would serve, with no direct release to the atmosphere.</w:t>
      </w:r>
      <w:r>
        <w:t xml:space="preserve"> (Section 1-75(e)(2) of the Act)</w:t>
      </w:r>
    </w:p>
    <w:p w:rsidR="008C2E00" w:rsidRDefault="008C2E00" w:rsidP="008C2E00">
      <w:pPr>
        <w:tabs>
          <w:tab w:val="left" w:pos="9360"/>
        </w:tabs>
        <w:autoSpaceDE w:val="0"/>
        <w:autoSpaceDN w:val="0"/>
        <w:adjustRightInd w:val="0"/>
        <w:ind w:left="1440" w:hanging="720"/>
      </w:pPr>
    </w:p>
    <w:p w:rsidR="008C2E00" w:rsidRPr="001C3C2E" w:rsidRDefault="008C2E00" w:rsidP="008C2E00">
      <w:pPr>
        <w:tabs>
          <w:tab w:val="left" w:pos="9360"/>
        </w:tabs>
        <w:autoSpaceDE w:val="0"/>
        <w:autoSpaceDN w:val="0"/>
        <w:adjustRightInd w:val="0"/>
        <w:ind w:left="1440" w:hanging="720"/>
      </w:pPr>
      <w:r w:rsidRPr="00C95211">
        <w:t>c)</w:t>
      </w:r>
      <w:r w:rsidRPr="001C3C2E">
        <w:tab/>
      </w:r>
      <w:r w:rsidRPr="00C95211">
        <w:rPr>
          <w:i/>
        </w:rPr>
        <w:t>If it is technically infeasible or economically unreasonable to minimize emissions associated with the venting of hydrocarbon fluids and natural gas during the flowback period using the methods specified in</w:t>
      </w:r>
      <w:r w:rsidRPr="001C3C2E">
        <w:t xml:space="preserve"> </w:t>
      </w:r>
      <w:r w:rsidRPr="00C95211">
        <w:t>subsection</w:t>
      </w:r>
      <w:r>
        <w:t>s</w:t>
      </w:r>
      <w:r w:rsidRPr="00C95211">
        <w:t xml:space="preserve"> (a) and (b),</w:t>
      </w:r>
      <w:r w:rsidRPr="001C3C2E">
        <w:t xml:space="preserve"> </w:t>
      </w:r>
      <w:r>
        <w:t xml:space="preserve">the Department, in consultation with the Agency as the Department deems appropriate, shall require </w:t>
      </w:r>
      <w:r w:rsidRPr="00C95211">
        <w:rPr>
          <w:i/>
        </w:rPr>
        <w:t xml:space="preserve">the permittee </w:t>
      </w:r>
      <w:r w:rsidR="005843D4" w:rsidRPr="005843D4">
        <w:t>to</w:t>
      </w:r>
      <w:r w:rsidRPr="00C95211">
        <w:rPr>
          <w:i/>
        </w:rPr>
        <w:t xml:space="preserve"> capture and direct the emissions to a completion combustion device, except:</w:t>
      </w:r>
    </w:p>
    <w:p w:rsidR="008C2E00" w:rsidRPr="001C3C2E" w:rsidRDefault="008C2E00" w:rsidP="008C2E00">
      <w:pPr>
        <w:tabs>
          <w:tab w:val="left" w:pos="9360"/>
        </w:tabs>
        <w:autoSpaceDE w:val="0"/>
        <w:autoSpaceDN w:val="0"/>
        <w:adjustRightInd w:val="0"/>
        <w:ind w:left="1440" w:hanging="720"/>
      </w:pPr>
    </w:p>
    <w:p w:rsidR="008C2E00" w:rsidRPr="001C3C2E" w:rsidRDefault="008C2E00" w:rsidP="008C2E00">
      <w:pPr>
        <w:tabs>
          <w:tab w:val="left" w:pos="9360"/>
        </w:tabs>
        <w:autoSpaceDE w:val="0"/>
        <w:autoSpaceDN w:val="0"/>
        <w:adjustRightInd w:val="0"/>
        <w:ind w:left="2160" w:hanging="720"/>
      </w:pPr>
      <w:r w:rsidRPr="00C95211">
        <w:t>1)</w:t>
      </w:r>
      <w:r w:rsidRPr="001C3C2E">
        <w:tab/>
      </w:r>
      <w:r w:rsidRPr="00C95211">
        <w:t>When</w:t>
      </w:r>
      <w:r w:rsidRPr="001C3C2E">
        <w:t xml:space="preserve"> </w:t>
      </w:r>
      <w:r w:rsidRPr="00C95211">
        <w:rPr>
          <w:i/>
        </w:rPr>
        <w:t>conditions may result in a fire hazard or explosion</w:t>
      </w:r>
      <w:r>
        <w:rPr>
          <w:i/>
        </w:rPr>
        <w:t>;</w:t>
      </w:r>
      <w:r w:rsidRPr="00C95211">
        <w:rPr>
          <w:i/>
        </w:rPr>
        <w:t xml:space="preserve"> or</w:t>
      </w:r>
    </w:p>
    <w:p w:rsidR="008C2E00" w:rsidRPr="001C3C2E" w:rsidRDefault="008C2E00" w:rsidP="008C2E00">
      <w:pPr>
        <w:tabs>
          <w:tab w:val="left" w:pos="9360"/>
        </w:tabs>
        <w:autoSpaceDE w:val="0"/>
        <w:autoSpaceDN w:val="0"/>
        <w:adjustRightInd w:val="0"/>
        <w:ind w:left="2160" w:hanging="720"/>
        <w:rPr>
          <w:u w:val="single"/>
        </w:rPr>
      </w:pPr>
    </w:p>
    <w:p w:rsidR="008C2E00" w:rsidRDefault="008C2E00" w:rsidP="008C2E00">
      <w:pPr>
        <w:tabs>
          <w:tab w:val="left" w:pos="9360"/>
        </w:tabs>
        <w:autoSpaceDE w:val="0"/>
        <w:autoSpaceDN w:val="0"/>
        <w:adjustRightInd w:val="0"/>
        <w:ind w:left="2160" w:hanging="720"/>
        <w:rPr>
          <w:i/>
        </w:rPr>
      </w:pPr>
      <w:r w:rsidRPr="00C95211">
        <w:t>2)</w:t>
      </w:r>
      <w:r w:rsidRPr="001C3C2E">
        <w:tab/>
      </w:r>
      <w:r w:rsidRPr="00C95211">
        <w:rPr>
          <w:i/>
        </w:rPr>
        <w:t>Where high heat emissions from a completion combustion device may negatively impact waterways.</w:t>
      </w:r>
    </w:p>
    <w:p w:rsidR="008C2E00" w:rsidRDefault="008C2E00" w:rsidP="008C2E00">
      <w:pPr>
        <w:tabs>
          <w:tab w:val="left" w:pos="9360"/>
        </w:tabs>
        <w:autoSpaceDE w:val="0"/>
        <w:autoSpaceDN w:val="0"/>
        <w:adjustRightInd w:val="0"/>
        <w:ind w:left="1440" w:hanging="720"/>
      </w:pPr>
    </w:p>
    <w:p w:rsidR="008C2E00" w:rsidRDefault="008C2E00" w:rsidP="008C2E00">
      <w:pPr>
        <w:tabs>
          <w:tab w:val="left" w:pos="9360"/>
        </w:tabs>
        <w:autoSpaceDE w:val="0"/>
        <w:autoSpaceDN w:val="0"/>
        <w:adjustRightInd w:val="0"/>
        <w:ind w:left="1440" w:hanging="720"/>
      </w:pPr>
      <w:r>
        <w:t>d</w:t>
      </w:r>
      <w:r w:rsidRPr="003C3FF5">
        <w:t>)</w:t>
      </w:r>
      <w:r w:rsidRPr="001C3C2E">
        <w:tab/>
      </w:r>
      <w:r w:rsidR="00E17EE2" w:rsidRPr="00E17EE2">
        <w:t xml:space="preserve">In order to establish technical infeasibility under subsection (c), the permittee must demonstrate to the Department's satisfaction that the technology listed in subsections (a) and (b) does not exist, cannot be installed at the well site, will not achieve the result intended, or is otherwise unavailable or ineffective. The </w:t>
      </w:r>
      <w:r w:rsidR="00E17EE2" w:rsidRPr="00E17EE2">
        <w:lastRenderedPageBreak/>
        <w:t>permittee claiming economic unreasonableness shall provide the Department with the following:</w:t>
      </w:r>
    </w:p>
    <w:p w:rsidR="00E17EE2" w:rsidRDefault="00E17EE2" w:rsidP="008C2E00">
      <w:pPr>
        <w:tabs>
          <w:tab w:val="left" w:pos="9360"/>
        </w:tabs>
        <w:autoSpaceDE w:val="0"/>
        <w:autoSpaceDN w:val="0"/>
        <w:adjustRightInd w:val="0"/>
        <w:ind w:left="1440" w:hanging="720"/>
      </w:pPr>
    </w:p>
    <w:p w:rsidR="00E17EE2" w:rsidRPr="00E17EE2" w:rsidRDefault="00E17EE2" w:rsidP="00E17EE2">
      <w:pPr>
        <w:tabs>
          <w:tab w:val="left" w:pos="9360"/>
        </w:tabs>
        <w:autoSpaceDE w:val="0"/>
        <w:autoSpaceDN w:val="0"/>
        <w:adjustRightInd w:val="0"/>
        <w:ind w:left="2160" w:hanging="720"/>
      </w:pPr>
      <w:r w:rsidRPr="00E17EE2">
        <w:t>1)</w:t>
      </w:r>
      <w:r w:rsidRPr="00E17EE2">
        <w:tab/>
        <w:t>The method the applicant used to determine it is economically unreasonable to implement the methods specified in subsection (a) or (b);</w:t>
      </w:r>
    </w:p>
    <w:p w:rsidR="00E17EE2" w:rsidRPr="00E17EE2" w:rsidRDefault="00E17EE2" w:rsidP="00E17EE2">
      <w:pPr>
        <w:tabs>
          <w:tab w:val="left" w:pos="9360"/>
        </w:tabs>
        <w:autoSpaceDE w:val="0"/>
        <w:autoSpaceDN w:val="0"/>
        <w:adjustRightInd w:val="0"/>
        <w:ind w:left="2160" w:hanging="720"/>
      </w:pPr>
    </w:p>
    <w:p w:rsidR="00E17EE2" w:rsidRPr="00E17EE2" w:rsidRDefault="00E17EE2" w:rsidP="00E17EE2">
      <w:pPr>
        <w:tabs>
          <w:tab w:val="left" w:pos="9360"/>
        </w:tabs>
        <w:autoSpaceDE w:val="0"/>
        <w:autoSpaceDN w:val="0"/>
        <w:adjustRightInd w:val="0"/>
        <w:ind w:left="2160" w:hanging="720"/>
      </w:pPr>
      <w:r w:rsidRPr="00E17EE2">
        <w:t>2)</w:t>
      </w:r>
      <w:r w:rsidRPr="00E17EE2">
        <w:tab/>
        <w:t>Applicant's experience in implementing the methods specified in subsection (a) or (b);</w:t>
      </w:r>
    </w:p>
    <w:p w:rsidR="00E17EE2" w:rsidRDefault="00E17EE2" w:rsidP="00E17EE2">
      <w:pPr>
        <w:tabs>
          <w:tab w:val="left" w:pos="9360"/>
        </w:tabs>
        <w:autoSpaceDE w:val="0"/>
        <w:autoSpaceDN w:val="0"/>
        <w:adjustRightInd w:val="0"/>
        <w:ind w:left="2160" w:hanging="720"/>
      </w:pPr>
    </w:p>
    <w:p w:rsidR="00E17EE2" w:rsidRPr="00E17EE2" w:rsidRDefault="00E17EE2" w:rsidP="00E17EE2">
      <w:pPr>
        <w:tabs>
          <w:tab w:val="left" w:pos="9360"/>
        </w:tabs>
        <w:autoSpaceDE w:val="0"/>
        <w:autoSpaceDN w:val="0"/>
        <w:adjustRightInd w:val="0"/>
        <w:ind w:left="2160" w:hanging="720"/>
      </w:pPr>
      <w:r>
        <w:t>3)</w:t>
      </w:r>
      <w:r w:rsidRPr="00E17EE2">
        <w:tab/>
        <w:t>Estimated costs of implementing the methods specified in subsection (a) or (b), and sources for those estimates;</w:t>
      </w:r>
    </w:p>
    <w:p w:rsidR="00E17EE2" w:rsidRDefault="00E17EE2" w:rsidP="00E17EE2">
      <w:pPr>
        <w:tabs>
          <w:tab w:val="left" w:pos="9360"/>
        </w:tabs>
        <w:autoSpaceDE w:val="0"/>
        <w:autoSpaceDN w:val="0"/>
        <w:adjustRightInd w:val="0"/>
        <w:ind w:left="2160" w:hanging="720"/>
      </w:pPr>
    </w:p>
    <w:p w:rsidR="00E17EE2" w:rsidRPr="00E17EE2" w:rsidRDefault="00E17EE2" w:rsidP="00E17EE2">
      <w:pPr>
        <w:tabs>
          <w:tab w:val="left" w:pos="9360"/>
        </w:tabs>
        <w:autoSpaceDE w:val="0"/>
        <w:autoSpaceDN w:val="0"/>
        <w:adjustRightInd w:val="0"/>
        <w:ind w:left="2160" w:hanging="720"/>
      </w:pPr>
      <w:r w:rsidRPr="00E17EE2">
        <w:t>4)</w:t>
      </w:r>
      <w:r w:rsidRPr="00E17EE2">
        <w:tab/>
        <w:t>Anticipated rates (by day) and amounts (total for well) of fluids and/or gas to be directed to the completion combustion device; and</w:t>
      </w:r>
    </w:p>
    <w:p w:rsidR="00E17EE2" w:rsidRPr="00E17EE2" w:rsidRDefault="00E17EE2" w:rsidP="00E17EE2">
      <w:pPr>
        <w:tabs>
          <w:tab w:val="left" w:pos="9360"/>
        </w:tabs>
        <w:autoSpaceDE w:val="0"/>
        <w:autoSpaceDN w:val="0"/>
        <w:adjustRightInd w:val="0"/>
        <w:ind w:left="2160" w:hanging="720"/>
      </w:pPr>
    </w:p>
    <w:p w:rsidR="00E17EE2" w:rsidRPr="001C3C2E" w:rsidRDefault="00E17EE2" w:rsidP="00E17EE2">
      <w:pPr>
        <w:tabs>
          <w:tab w:val="left" w:pos="9360"/>
        </w:tabs>
        <w:autoSpaceDE w:val="0"/>
        <w:autoSpaceDN w:val="0"/>
        <w:adjustRightInd w:val="0"/>
        <w:ind w:left="2160" w:hanging="720"/>
      </w:pPr>
      <w:r w:rsidRPr="00E17EE2">
        <w:t>5)</w:t>
      </w:r>
      <w:r w:rsidRPr="00E17EE2">
        <w:tab/>
        <w:t>Any other information requested by the Department or that documents the economic unreasonableness claimed.</w:t>
      </w:r>
    </w:p>
    <w:p w:rsidR="008C2E00" w:rsidRPr="001C3C2E" w:rsidRDefault="008C2E00" w:rsidP="00E17EE2">
      <w:pPr>
        <w:pStyle w:val="ListParagraph"/>
        <w:tabs>
          <w:tab w:val="left" w:pos="9360"/>
        </w:tabs>
        <w:ind w:left="2160"/>
      </w:pPr>
    </w:p>
    <w:p w:rsidR="008C2E00" w:rsidRDefault="008C2E00" w:rsidP="008C2E00">
      <w:pPr>
        <w:pStyle w:val="ListParagraph"/>
        <w:tabs>
          <w:tab w:val="left" w:pos="9360"/>
        </w:tabs>
        <w:ind w:left="1440" w:hanging="720"/>
      </w:pPr>
      <w:r>
        <w:t>e</w:t>
      </w:r>
      <w:r w:rsidRPr="00C95211">
        <w:t>)</w:t>
      </w:r>
      <w:r w:rsidRPr="001C3C2E">
        <w:tab/>
      </w:r>
      <w:r w:rsidRPr="00C95211">
        <w:rPr>
          <w:i/>
        </w:rPr>
        <w:t xml:space="preserve">Completion combustion devices must be equipped with </w:t>
      </w:r>
      <w:r w:rsidR="00E17EE2">
        <w:t xml:space="preserve">an auto-igniter and </w:t>
      </w:r>
      <w:r w:rsidRPr="00C95211">
        <w:rPr>
          <w:i/>
        </w:rPr>
        <w:t>a reliable continuous ignition source over the duration of the flowback period.</w:t>
      </w:r>
      <w:r>
        <w:t xml:space="preserve"> (Section 1-75(e)(3) of the Act)</w:t>
      </w:r>
    </w:p>
    <w:p w:rsidR="008C2E00" w:rsidRDefault="008C2E00" w:rsidP="008C2E00">
      <w:pPr>
        <w:pStyle w:val="ListParagraph"/>
        <w:tabs>
          <w:tab w:val="left" w:pos="9360"/>
        </w:tabs>
        <w:ind w:left="1440" w:hanging="720"/>
      </w:pPr>
    </w:p>
    <w:p w:rsidR="008C2E00" w:rsidRDefault="008C2E00" w:rsidP="008C2E00">
      <w:pPr>
        <w:pStyle w:val="ListParagraph"/>
        <w:tabs>
          <w:tab w:val="left" w:pos="9360"/>
        </w:tabs>
        <w:ind w:left="1440" w:hanging="720"/>
      </w:pPr>
      <w:r>
        <w:t>f</w:t>
      </w:r>
      <w:r w:rsidRPr="00C95211">
        <w:t>)</w:t>
      </w:r>
      <w:r>
        <w:tab/>
      </w:r>
      <w:r w:rsidRPr="00C95211">
        <w:rPr>
          <w:i/>
        </w:rPr>
        <w:t>For each wildcat well, delineation well, or low pressure well, permittees shall be responsible for minimizing the emissions associated with venting of hydrocarbon fluids and natural gas during the flowback period by capturing and directing the emissions to a completion combustion device during the flowback period, except in conditions that may result in a fire hazard or explosion, or where high heat emissions from a completion combustion device may negatively impact waterways.  Completion combustion devices shall be equipped with a reliable continuous ignition source over the duration of the flowback period.</w:t>
      </w:r>
      <w:r>
        <w:t xml:space="preserve">  (Section 1-75(e)(8) of the Act)</w:t>
      </w:r>
    </w:p>
    <w:sectPr w:rsidR="008C2E0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D1A" w:rsidRDefault="00971D1A">
      <w:r>
        <w:separator/>
      </w:r>
    </w:p>
  </w:endnote>
  <w:endnote w:type="continuationSeparator" w:id="0">
    <w:p w:rsidR="00971D1A" w:rsidRDefault="0097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D1A" w:rsidRDefault="00971D1A">
      <w:r>
        <w:separator/>
      </w:r>
    </w:p>
  </w:footnote>
  <w:footnote w:type="continuationSeparator" w:id="0">
    <w:p w:rsidR="00971D1A" w:rsidRDefault="00971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1A"/>
    <w:rsid w:val="00001F1D"/>
    <w:rsid w:val="00003CEF"/>
    <w:rsid w:val="00011A7D"/>
    <w:rsid w:val="000122C7"/>
    <w:rsid w:val="000133BC"/>
    <w:rsid w:val="00014324"/>
    <w:rsid w:val="000158C8"/>
    <w:rsid w:val="00016F74"/>
    <w:rsid w:val="000174EB"/>
    <w:rsid w:val="00023902"/>
    <w:rsid w:val="00023DDC"/>
    <w:rsid w:val="00024942"/>
    <w:rsid w:val="0002510B"/>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C59"/>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468"/>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43D4"/>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403C"/>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E0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1D1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1D4"/>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12C7"/>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23E"/>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E5631"/>
    <w:rsid w:val="00DF0813"/>
    <w:rsid w:val="00DF25BD"/>
    <w:rsid w:val="00E0634B"/>
    <w:rsid w:val="00E11728"/>
    <w:rsid w:val="00E16B25"/>
    <w:rsid w:val="00E17EE2"/>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38D2"/>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56F"/>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153DF2-5847-4267-BFDB-B5792EBF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46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971D1A"/>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1628476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546</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16</cp:revision>
  <dcterms:created xsi:type="dcterms:W3CDTF">2013-10-25T19:07:00Z</dcterms:created>
  <dcterms:modified xsi:type="dcterms:W3CDTF">2014-11-03T21:33:00Z</dcterms:modified>
</cp:coreProperties>
</file>