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E9" w:rsidRDefault="00397AE9" w:rsidP="00397AE9">
      <w:pPr>
        <w:widowControl w:val="0"/>
        <w:autoSpaceDE w:val="0"/>
        <w:autoSpaceDN w:val="0"/>
        <w:adjustRightInd w:val="0"/>
      </w:pPr>
      <w:bookmarkStart w:id="0" w:name="_GoBack"/>
      <w:bookmarkEnd w:id="0"/>
    </w:p>
    <w:p w:rsidR="00397AE9" w:rsidRDefault="00397AE9" w:rsidP="00397AE9">
      <w:pPr>
        <w:widowControl w:val="0"/>
        <w:autoSpaceDE w:val="0"/>
        <w:autoSpaceDN w:val="0"/>
        <w:adjustRightInd w:val="0"/>
      </w:pPr>
      <w:r>
        <w:rPr>
          <w:b/>
          <w:bCs/>
        </w:rPr>
        <w:t>Section 125.30  Overview</w:t>
      </w:r>
      <w:r>
        <w:t xml:space="preserve"> </w:t>
      </w:r>
    </w:p>
    <w:p w:rsidR="00397AE9" w:rsidRDefault="00397AE9" w:rsidP="00397AE9">
      <w:pPr>
        <w:widowControl w:val="0"/>
        <w:autoSpaceDE w:val="0"/>
        <w:autoSpaceDN w:val="0"/>
        <w:adjustRightInd w:val="0"/>
      </w:pPr>
    </w:p>
    <w:p w:rsidR="00397AE9" w:rsidRDefault="00397AE9" w:rsidP="00397AE9">
      <w:pPr>
        <w:widowControl w:val="0"/>
        <w:autoSpaceDE w:val="0"/>
        <w:autoSpaceDN w:val="0"/>
        <w:adjustRightInd w:val="0"/>
        <w:ind w:left="1440" w:hanging="720"/>
      </w:pPr>
      <w:r>
        <w:t>a)</w:t>
      </w:r>
      <w:r>
        <w:tab/>
        <w:t xml:space="preserve">Department facilities are primarily intensive treatment/habilitation resources which provide therapeutic services to recipients unable to adjust to community settings.  As recipients respond to the intensive services provided in Department facilities, they are encouraged to attain greater degrees of independence  in alternate living situations within the community, either in their homes, or in residential facilities. </w:t>
      </w:r>
    </w:p>
    <w:p w:rsidR="00256F84" w:rsidRDefault="00256F84" w:rsidP="00397AE9">
      <w:pPr>
        <w:widowControl w:val="0"/>
        <w:autoSpaceDE w:val="0"/>
        <w:autoSpaceDN w:val="0"/>
        <w:adjustRightInd w:val="0"/>
        <w:ind w:left="1440" w:hanging="720"/>
      </w:pPr>
    </w:p>
    <w:p w:rsidR="00397AE9" w:rsidRDefault="00397AE9" w:rsidP="00397AE9">
      <w:pPr>
        <w:widowControl w:val="0"/>
        <w:autoSpaceDE w:val="0"/>
        <w:autoSpaceDN w:val="0"/>
        <w:adjustRightInd w:val="0"/>
        <w:ind w:left="1440" w:hanging="720"/>
      </w:pPr>
      <w:r>
        <w:t>b)</w:t>
      </w:r>
      <w:r>
        <w:tab/>
        <w:t xml:space="preserve">The optimal transition of recipients from State-operated facilities requires active interaction among public and private sector service providers.  The components described in this Part, including the regional discharge/linkage/aftercare (DLA) plan, discharge planning, and interagency agreements, are designed to facilitate such interaction.  Full implementation of these components should result in the enhancement of the quality of the service system and provide improved public accountability. </w:t>
      </w:r>
    </w:p>
    <w:sectPr w:rsidR="00397AE9" w:rsidSect="00397A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AE9"/>
    <w:rsid w:val="00256F84"/>
    <w:rsid w:val="00397AE9"/>
    <w:rsid w:val="005C3366"/>
    <w:rsid w:val="00A64643"/>
    <w:rsid w:val="00A87D40"/>
    <w:rsid w:val="00EF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