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E0" w:rsidRDefault="003061E0" w:rsidP="003061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1E0" w:rsidRDefault="003061E0" w:rsidP="003061E0">
      <w:pPr>
        <w:widowControl w:val="0"/>
        <w:autoSpaceDE w:val="0"/>
        <w:autoSpaceDN w:val="0"/>
        <w:adjustRightInd w:val="0"/>
      </w:pPr>
      <w:r>
        <w:t xml:space="preserve">AUTHORITY:  Implementing Section 15.2 of the Mental Health and Developmental Disabilities Administrative Act [20 ILCS 1705/15.2] and the Health Care Worker Background Check Act [225 ILCS 46] and authorized by Section 15.2 of the Mental Health and Developmental Disabilities Administrative Act. </w:t>
      </w:r>
    </w:p>
    <w:sectPr w:rsidR="003061E0" w:rsidSect="003061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1E0"/>
    <w:rsid w:val="003061E0"/>
    <w:rsid w:val="005C3366"/>
    <w:rsid w:val="007E5CCA"/>
    <w:rsid w:val="009D14F0"/>
    <w:rsid w:val="00C3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15</vt:lpstr>
    </vt:vector>
  </TitlesOfParts>
  <Company>State of Illinois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15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