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5C" w:rsidRDefault="00BD4D5C" w:rsidP="00BD4D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4D5C" w:rsidRDefault="00BD4D5C" w:rsidP="00BD4D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2605.320  Burden of Proof</w:t>
      </w:r>
      <w:r>
        <w:t xml:space="preserve"> </w:t>
      </w:r>
    </w:p>
    <w:p w:rsidR="00BD4D5C" w:rsidRDefault="00BD4D5C" w:rsidP="00BD4D5C">
      <w:pPr>
        <w:widowControl w:val="0"/>
        <w:autoSpaceDE w:val="0"/>
        <w:autoSpaceDN w:val="0"/>
        <w:adjustRightInd w:val="0"/>
      </w:pPr>
    </w:p>
    <w:p w:rsidR="00BD4D5C" w:rsidRDefault="00BD4D5C" w:rsidP="00BD4D5C">
      <w:pPr>
        <w:widowControl w:val="0"/>
        <w:autoSpaceDE w:val="0"/>
        <w:autoSpaceDN w:val="0"/>
        <w:adjustRightInd w:val="0"/>
      </w:pPr>
      <w:r>
        <w:t xml:space="preserve">The burden of proof, which includes both the burden of production and the burden of persuasion, rests with the Petitioner in all cases initiated by the filing of a Petition for Hearing, and with the Department in all cases initiated by the filing of a Notice of Charges. </w:t>
      </w:r>
    </w:p>
    <w:sectPr w:rsidR="00BD4D5C" w:rsidSect="00BD4D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4D5C"/>
    <w:rsid w:val="005271E3"/>
    <w:rsid w:val="005C3366"/>
    <w:rsid w:val="00823B64"/>
    <w:rsid w:val="00BD4D5C"/>
    <w:rsid w:val="00D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2605</vt:lpstr>
    </vt:vector>
  </TitlesOfParts>
  <Company>State of Illinois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2605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