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F03F96" w:rsidRPr="0054669C" w:rsidRDefault="00F03F96" w:rsidP="00F03F96">
      <w:pPr>
        <w:tabs>
          <w:tab w:val="left" w:pos="1440"/>
          <w:tab w:val="left" w:pos="2160"/>
        </w:tabs>
        <w:rPr>
          <w:b/>
          <w:sz w:val="24"/>
          <w:szCs w:val="24"/>
        </w:rPr>
      </w:pPr>
      <w:r w:rsidRPr="0054669C">
        <w:rPr>
          <w:b/>
          <w:sz w:val="24"/>
          <w:szCs w:val="24"/>
        </w:rPr>
        <w:t xml:space="preserve">Section 3117.210  Noncompliance </w:t>
      </w:r>
    </w:p>
    <w:p w:rsidR="00F03F96" w:rsidRPr="005852C2" w:rsidRDefault="00F03F96" w:rsidP="00F03F96">
      <w:pPr>
        <w:tabs>
          <w:tab w:val="left" w:pos="1440"/>
          <w:tab w:val="left" w:pos="2160"/>
        </w:tabs>
        <w:rPr>
          <w:sz w:val="24"/>
          <w:szCs w:val="24"/>
        </w:rPr>
      </w:pPr>
    </w:p>
    <w:p w:rsidR="00F03F96" w:rsidRPr="00F03F96" w:rsidRDefault="00F03F96" w:rsidP="00F03F96">
      <w:pPr>
        <w:rPr>
          <w:sz w:val="24"/>
          <w:szCs w:val="24"/>
        </w:rPr>
      </w:pPr>
      <w:r w:rsidRPr="00F03F96">
        <w:rPr>
          <w:sz w:val="24"/>
          <w:szCs w:val="24"/>
        </w:rPr>
        <w:t>Violation of the requirements of this Part shall be an unfair trade practice and evidence of incompetence or untrustworthiness in the conduct of business under S</w:t>
      </w:r>
      <w:r w:rsidR="00B07511">
        <w:rPr>
          <w:sz w:val="24"/>
          <w:szCs w:val="24"/>
        </w:rPr>
        <w:t>ection</w:t>
      </w:r>
      <w:r w:rsidRPr="00F03F96">
        <w:rPr>
          <w:sz w:val="24"/>
          <w:szCs w:val="24"/>
        </w:rPr>
        <w:t xml:space="preserve"> 500-70(a)(7) and (8) of the Code.</w:t>
      </w:r>
    </w:p>
    <w:p w:rsidR="00F03F96" w:rsidRDefault="00F03F96" w:rsidP="00F03F96">
      <w:pPr>
        <w:rPr>
          <w:sz w:val="24"/>
          <w:szCs w:val="24"/>
        </w:rPr>
      </w:pPr>
    </w:p>
    <w:p w:rsidR="00F03F96" w:rsidRPr="00F03F96" w:rsidRDefault="00F03F96">
      <w:pPr>
        <w:pStyle w:val="JCARSourceNote"/>
        <w:ind w:left="720"/>
        <w:rPr>
          <w:sz w:val="24"/>
          <w:szCs w:val="24"/>
        </w:rPr>
      </w:pPr>
      <w:r w:rsidRPr="00F03F96">
        <w:rPr>
          <w:sz w:val="24"/>
          <w:szCs w:val="24"/>
        </w:rPr>
        <w:t xml:space="preserve">(Source:  Added at 31 Ill. Reg. </w:t>
      </w:r>
      <w:r w:rsidR="00CF7D44">
        <w:rPr>
          <w:sz w:val="24"/>
          <w:szCs w:val="24"/>
        </w:rPr>
        <w:t>12740</w:t>
      </w:r>
      <w:r w:rsidRPr="00F03F96">
        <w:rPr>
          <w:sz w:val="24"/>
          <w:szCs w:val="24"/>
        </w:rPr>
        <w:t xml:space="preserve">, effective </w:t>
      </w:r>
      <w:r w:rsidR="00CF7D44">
        <w:rPr>
          <w:sz w:val="24"/>
          <w:szCs w:val="24"/>
        </w:rPr>
        <w:t>January 1, 2008</w:t>
      </w:r>
      <w:r w:rsidRPr="00F03F96">
        <w:rPr>
          <w:sz w:val="24"/>
          <w:szCs w:val="24"/>
        </w:rPr>
        <w:t>)</w:t>
      </w:r>
    </w:p>
    <w:sectPr w:rsidR="00F03F96" w:rsidRPr="00F03F96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ADF" w:rsidRDefault="00341ADF">
      <w:r>
        <w:separator/>
      </w:r>
    </w:p>
  </w:endnote>
  <w:endnote w:type="continuationSeparator" w:id="0">
    <w:p w:rsidR="00341ADF" w:rsidRDefault="0034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ADF" w:rsidRDefault="00341ADF">
      <w:r>
        <w:separator/>
      </w:r>
    </w:p>
  </w:footnote>
  <w:footnote w:type="continuationSeparator" w:id="0">
    <w:p w:rsidR="00341ADF" w:rsidRDefault="00341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00A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2D9F"/>
    <w:rsid w:val="000D3C1E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0A4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41ADF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23B3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0858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69C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4486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075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CF7D44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3F96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2C6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F9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F9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