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DF0" w:rsidRDefault="00F15DF0" w:rsidP="00F15D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5DF0" w:rsidRDefault="00F15DF0" w:rsidP="00F15DF0">
      <w:pPr>
        <w:widowControl w:val="0"/>
        <w:autoSpaceDE w:val="0"/>
        <w:autoSpaceDN w:val="0"/>
        <w:adjustRightInd w:val="0"/>
      </w:pPr>
      <w:r>
        <w:t>SOURCE:  Filed July 11, 1958; codified at 7 Ill. Reg. 89</w:t>
      </w:r>
      <w:r w:rsidR="00F74100">
        <w:t>2</w:t>
      </w:r>
      <w:r>
        <w:t xml:space="preserve">. </w:t>
      </w:r>
    </w:p>
    <w:sectPr w:rsidR="00F15DF0" w:rsidSect="00F15D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5DF0"/>
    <w:rsid w:val="005C3366"/>
    <w:rsid w:val="00743B0C"/>
    <w:rsid w:val="00A9234B"/>
    <w:rsid w:val="00E0632E"/>
    <w:rsid w:val="00F15DF0"/>
    <w:rsid w:val="00F7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July 11, 1958; codified at 7 Ill</vt:lpstr>
    </vt:vector>
  </TitlesOfParts>
  <Company>State of Illinois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July 11, 1958; codified at 7 Ill</dc:title>
  <dc:subject/>
  <dc:creator>Illinois General Assembly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