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6C" w:rsidRDefault="003C4C6C" w:rsidP="003C4C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4C6C" w:rsidRDefault="003C4C6C" w:rsidP="003C4C6C">
      <w:pPr>
        <w:widowControl w:val="0"/>
        <w:autoSpaceDE w:val="0"/>
        <w:autoSpaceDN w:val="0"/>
        <w:adjustRightInd w:val="0"/>
      </w:pPr>
      <w:r>
        <w:t>SOURCE:  Filed April 9, 1976, effective May 1, 1976;</w:t>
      </w:r>
      <w:r w:rsidR="00F4040E">
        <w:t xml:space="preserve"> codified at 7 Ill. Reg. 6489. </w:t>
      </w:r>
    </w:p>
    <w:sectPr w:rsidR="003C4C6C" w:rsidSect="003C4C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4C6C"/>
    <w:rsid w:val="00100BFE"/>
    <w:rsid w:val="002039AB"/>
    <w:rsid w:val="003C4C6C"/>
    <w:rsid w:val="005C3366"/>
    <w:rsid w:val="00904C9D"/>
    <w:rsid w:val="00F4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April 9, 1976, effective May 1, 1976; codified at 7 Ill</vt:lpstr>
    </vt:vector>
  </TitlesOfParts>
  <Company>State of Illinois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April 9, 1976, effective May 1, 1976; codified at 7 Ill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