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AB" w:rsidRDefault="00D054AB" w:rsidP="00D054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4AB" w:rsidRDefault="00D054AB" w:rsidP="00D054AB">
      <w:pPr>
        <w:widowControl w:val="0"/>
        <w:autoSpaceDE w:val="0"/>
        <w:autoSpaceDN w:val="0"/>
        <w:adjustRightInd w:val="0"/>
        <w:jc w:val="center"/>
      </w:pPr>
      <w:r>
        <w:t>SUBPART C:  RULES RELATING TO THE COMPOSITION OF,</w:t>
      </w:r>
    </w:p>
    <w:p w:rsidR="00D054AB" w:rsidRDefault="00D054AB" w:rsidP="00D054AB">
      <w:pPr>
        <w:widowControl w:val="0"/>
        <w:autoSpaceDE w:val="0"/>
        <w:autoSpaceDN w:val="0"/>
        <w:adjustRightInd w:val="0"/>
        <w:jc w:val="center"/>
      </w:pPr>
      <w:r>
        <w:t>AND ALLOCATION TO, EXPENSE GROUPS</w:t>
      </w:r>
    </w:p>
    <w:sectPr w:rsidR="00D054AB" w:rsidSect="00D054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4AB"/>
    <w:rsid w:val="002B29D4"/>
    <w:rsid w:val="003064B5"/>
    <w:rsid w:val="005C3366"/>
    <w:rsid w:val="005C7333"/>
    <w:rsid w:val="00D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RULES RELATING TO THE COMPOSITION OF,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RULES RELATING TO THE COMPOSITION OF,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