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EB" w:rsidRDefault="002D7BEB" w:rsidP="002D7B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BEB" w:rsidRDefault="002D7BEB" w:rsidP="002D7B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806.50  Documentation Requirements</w:t>
      </w:r>
      <w:r>
        <w:t xml:space="preserve"> </w:t>
      </w:r>
    </w:p>
    <w:p w:rsidR="002D7BEB" w:rsidRDefault="002D7BEB" w:rsidP="002D7BEB">
      <w:pPr>
        <w:widowControl w:val="0"/>
        <w:autoSpaceDE w:val="0"/>
        <w:autoSpaceDN w:val="0"/>
        <w:adjustRightInd w:val="0"/>
      </w:pPr>
    </w:p>
    <w:p w:rsidR="002D7BEB" w:rsidRDefault="002D7BEB" w:rsidP="002D7BEB">
      <w:pPr>
        <w:widowControl w:val="0"/>
        <w:autoSpaceDE w:val="0"/>
        <w:autoSpaceDN w:val="0"/>
        <w:adjustRightInd w:val="0"/>
      </w:pPr>
      <w:r>
        <w:t xml:space="preserve">An insurer shall maintain documentation and records relating to each derivative transaction, including, but not limited to: </w:t>
      </w:r>
    </w:p>
    <w:p w:rsidR="006F1494" w:rsidRDefault="006F1494" w:rsidP="002D7BEB">
      <w:pPr>
        <w:widowControl w:val="0"/>
        <w:autoSpaceDE w:val="0"/>
        <w:autoSpaceDN w:val="0"/>
        <w:adjustRightInd w:val="0"/>
      </w:pPr>
    </w:p>
    <w:p w:rsidR="002D7BEB" w:rsidRDefault="002D7BEB" w:rsidP="002D7B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or purposes of the transaction; </w:t>
      </w:r>
    </w:p>
    <w:p w:rsidR="006F1494" w:rsidRDefault="006F1494" w:rsidP="002D7BEB">
      <w:pPr>
        <w:widowControl w:val="0"/>
        <w:autoSpaceDE w:val="0"/>
        <w:autoSpaceDN w:val="0"/>
        <w:adjustRightInd w:val="0"/>
        <w:ind w:left="1440" w:hanging="720"/>
      </w:pPr>
    </w:p>
    <w:p w:rsidR="002D7BEB" w:rsidRDefault="002D7BEB" w:rsidP="002D7B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assets or liabilities to which the transaction relates; </w:t>
      </w:r>
    </w:p>
    <w:p w:rsidR="006F1494" w:rsidRDefault="006F1494" w:rsidP="002D7BEB">
      <w:pPr>
        <w:widowControl w:val="0"/>
        <w:autoSpaceDE w:val="0"/>
        <w:autoSpaceDN w:val="0"/>
        <w:adjustRightInd w:val="0"/>
        <w:ind w:left="1440" w:hanging="720"/>
      </w:pPr>
    </w:p>
    <w:p w:rsidR="002D7BEB" w:rsidRDefault="002D7BEB" w:rsidP="002D7B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specific derivative instrument used in the transaction; </w:t>
      </w:r>
    </w:p>
    <w:p w:rsidR="006F1494" w:rsidRDefault="006F1494" w:rsidP="002D7BEB">
      <w:pPr>
        <w:widowControl w:val="0"/>
        <w:autoSpaceDE w:val="0"/>
        <w:autoSpaceDN w:val="0"/>
        <w:adjustRightInd w:val="0"/>
        <w:ind w:left="1440" w:hanging="720"/>
      </w:pPr>
    </w:p>
    <w:p w:rsidR="002D7BEB" w:rsidRDefault="002D7BEB" w:rsidP="002D7B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over-the-counter derivative instrument transactions, the name of the counterparty and the counterparty exposure amount; and </w:t>
      </w:r>
    </w:p>
    <w:p w:rsidR="006F1494" w:rsidRDefault="006F1494" w:rsidP="002D7BEB">
      <w:pPr>
        <w:widowControl w:val="0"/>
        <w:autoSpaceDE w:val="0"/>
        <w:autoSpaceDN w:val="0"/>
        <w:adjustRightInd w:val="0"/>
        <w:ind w:left="1440" w:hanging="720"/>
      </w:pPr>
    </w:p>
    <w:p w:rsidR="002D7BEB" w:rsidRDefault="002D7BEB" w:rsidP="002D7BE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exchange traded derivative instruments, the name of the exchange and the name of the firm that handled the trade. </w:t>
      </w:r>
    </w:p>
    <w:sectPr w:rsidR="002D7BEB" w:rsidSect="002D7B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BEB"/>
    <w:rsid w:val="002D7BEB"/>
    <w:rsid w:val="004323E6"/>
    <w:rsid w:val="005C3366"/>
    <w:rsid w:val="006F1494"/>
    <w:rsid w:val="00F51666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806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806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