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DB" w:rsidRDefault="00E00CDB" w:rsidP="00E00CDB">
      <w:pPr>
        <w:widowControl w:val="0"/>
        <w:autoSpaceDE w:val="0"/>
        <w:autoSpaceDN w:val="0"/>
        <w:adjustRightInd w:val="0"/>
      </w:pPr>
    </w:p>
    <w:p w:rsidR="00E00CDB" w:rsidRDefault="00E00CDB" w:rsidP="00E00CD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60B5E">
        <w:rPr>
          <w:b/>
          <w:bCs/>
        </w:rPr>
        <w:t>654</w:t>
      </w:r>
      <w:r>
        <w:rPr>
          <w:b/>
          <w:bCs/>
        </w:rPr>
        <w:t xml:space="preserve">.30  Prior Notification of Transactions </w:t>
      </w:r>
      <w:r w:rsidR="00911EB1">
        <w:rPr>
          <w:b/>
          <w:bCs/>
        </w:rPr>
        <w:t>–</w:t>
      </w:r>
      <w:r>
        <w:rPr>
          <w:b/>
          <w:bCs/>
        </w:rPr>
        <w:t xml:space="preserve"> Required Information</w:t>
      </w:r>
      <w:r>
        <w:t xml:space="preserve"> </w:t>
      </w:r>
    </w:p>
    <w:p w:rsidR="00E00CDB" w:rsidRDefault="00E00CDB" w:rsidP="00E00CDB">
      <w:pPr>
        <w:widowControl w:val="0"/>
        <w:autoSpaceDE w:val="0"/>
        <w:autoSpaceDN w:val="0"/>
        <w:adjustRightInd w:val="0"/>
      </w:pPr>
    </w:p>
    <w:p w:rsidR="00E00CDB" w:rsidRDefault="00E00CDB" w:rsidP="00E00C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domestic company required, pursuant to Section 131.20a(1) of the Code, to notify the Director of a transaction between it and any person in its holding company system shall notify the Director of the transaction in writing at least 30 days prior to entering into </w:t>
      </w:r>
      <w:r w:rsidR="007D5B2A">
        <w:t>the</w:t>
      </w:r>
      <w:r>
        <w:t xml:space="preserve"> transaction.  </w:t>
      </w:r>
      <w:r w:rsidR="007D5B2A">
        <w:t>The</w:t>
      </w:r>
      <w:r>
        <w:t xml:space="preserve"> notice shall be deemed incomplete unless </w:t>
      </w:r>
      <w:r w:rsidR="007D5B2A">
        <w:t xml:space="preserve">it includes </w:t>
      </w:r>
      <w:r>
        <w:t xml:space="preserve">all the information required by this Part. </w:t>
      </w:r>
    </w:p>
    <w:p w:rsidR="00F81C28" w:rsidRDefault="00F81C28" w:rsidP="00A53B1B">
      <w:pPr>
        <w:widowControl w:val="0"/>
        <w:autoSpaceDE w:val="0"/>
        <w:autoSpaceDN w:val="0"/>
        <w:adjustRightInd w:val="0"/>
      </w:pPr>
    </w:p>
    <w:p w:rsidR="00E00CDB" w:rsidRDefault="00E00CDB" w:rsidP="00E00C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shall, within the 30 day period, disapprove </w:t>
      </w:r>
      <w:r w:rsidR="007D5B2A">
        <w:t>the</w:t>
      </w:r>
      <w:r>
        <w:t xml:space="preserve"> transactions if the standards contained in Section 131.20 of the Code  have not been met. </w:t>
      </w:r>
    </w:p>
    <w:p w:rsidR="00F81C28" w:rsidRDefault="00F81C28" w:rsidP="00A53B1B">
      <w:pPr>
        <w:widowControl w:val="0"/>
        <w:autoSpaceDE w:val="0"/>
        <w:autoSpaceDN w:val="0"/>
        <w:adjustRightInd w:val="0"/>
      </w:pPr>
    </w:p>
    <w:p w:rsidR="00E00CDB" w:rsidRDefault="00E00CDB" w:rsidP="00E00C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C4877">
        <w:t>Transactions Subject to Prior Notice – Notice Filing</w:t>
      </w:r>
      <w:r>
        <w:t xml:space="preserve"> </w:t>
      </w:r>
    </w:p>
    <w:p w:rsidR="00E00CDB" w:rsidRDefault="00E00CDB" w:rsidP="00A53B1B">
      <w:pPr>
        <w:widowControl w:val="0"/>
        <w:autoSpaceDE w:val="0"/>
        <w:autoSpaceDN w:val="0"/>
        <w:adjustRightInd w:val="0"/>
      </w:pPr>
    </w:p>
    <w:p w:rsidR="006C4877" w:rsidRPr="0061608C" w:rsidRDefault="006C4877" w:rsidP="006C4877">
      <w:pPr>
        <w:ind w:left="2160" w:hanging="720"/>
        <w:rPr>
          <w:rFonts w:eastAsiaTheme="minorEastAsia"/>
        </w:rPr>
      </w:pPr>
      <w:r w:rsidRPr="0061608C">
        <w:rPr>
          <w:rFonts w:eastAsiaTheme="minorEastAsia"/>
        </w:rPr>
        <w:t>1)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 xml:space="preserve">An insurer required to give notice of a proposed transaction pursuant to Section 131.20a(1) </w:t>
      </w:r>
      <w:r w:rsidR="007D5B2A">
        <w:rPr>
          <w:rFonts w:eastAsiaTheme="minorEastAsia"/>
        </w:rPr>
        <w:t xml:space="preserve">of the Code </w:t>
      </w:r>
      <w:r w:rsidRPr="0061608C">
        <w:rPr>
          <w:rFonts w:eastAsiaTheme="minorEastAsia"/>
        </w:rPr>
        <w:t>shall furnish the required information on Form D</w:t>
      </w:r>
      <w:r w:rsidR="009A187B">
        <w:rPr>
          <w:rFonts w:eastAsiaTheme="minorEastAsia"/>
        </w:rPr>
        <w:t>-1</w:t>
      </w:r>
      <w:r w:rsidRPr="0061608C">
        <w:rPr>
          <w:rFonts w:eastAsiaTheme="minorEastAsia"/>
        </w:rPr>
        <w:t>.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160" w:hanging="720"/>
        <w:rPr>
          <w:rFonts w:eastAsiaTheme="minorEastAsia"/>
        </w:rPr>
      </w:pPr>
      <w:r w:rsidRPr="0061608C">
        <w:rPr>
          <w:rFonts w:eastAsiaTheme="minorEastAsia"/>
        </w:rPr>
        <w:t>2)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Agreements for cost sharing services and management services shall</w:t>
      </w:r>
      <w:r w:rsidR="004571E3">
        <w:rPr>
          <w:rFonts w:eastAsiaTheme="minorEastAsia"/>
        </w:rPr>
        <w:t>,</w:t>
      </w:r>
      <w:r w:rsidRPr="0061608C">
        <w:rPr>
          <w:rFonts w:eastAsiaTheme="minorEastAsia"/>
        </w:rPr>
        <w:t xml:space="preserve"> at a minimum and as applicable: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A)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 xml:space="preserve">Identify the person providing services and the nature of </w:t>
      </w:r>
      <w:r w:rsidR="007D5B2A">
        <w:rPr>
          <w:rFonts w:eastAsiaTheme="minorEastAsia"/>
        </w:rPr>
        <w:t>those</w:t>
      </w:r>
      <w:r w:rsidRPr="0061608C">
        <w:rPr>
          <w:rFonts w:eastAsiaTheme="minorEastAsia"/>
        </w:rPr>
        <w:t xml:space="preserve"> services;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B)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Set forth the methods to allocate costs;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C)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 xml:space="preserve">Require timely settlement, not less frequently than on a quarterly basis, and compliance with the </w:t>
      </w:r>
      <w:r w:rsidR="00E9639D">
        <w:rPr>
          <w:rFonts w:eastAsiaTheme="minorEastAsia"/>
        </w:rPr>
        <w:t xml:space="preserve">2018 edition </w:t>
      </w:r>
      <w:r w:rsidRPr="0061608C">
        <w:rPr>
          <w:rFonts w:eastAsiaTheme="minorEastAsia"/>
        </w:rPr>
        <w:t xml:space="preserve">of the  </w:t>
      </w:r>
      <w:r>
        <w:rPr>
          <w:rFonts w:eastAsiaTheme="minorEastAsia"/>
        </w:rPr>
        <w:t xml:space="preserve">NAIC </w:t>
      </w:r>
      <w:r w:rsidRPr="0061608C">
        <w:rPr>
          <w:rFonts w:eastAsiaTheme="minorEastAsia"/>
        </w:rPr>
        <w:t xml:space="preserve">Accounting </w:t>
      </w:r>
      <w:r>
        <w:rPr>
          <w:rFonts w:eastAsiaTheme="minorEastAsia"/>
        </w:rPr>
        <w:t>Practices and Procedures Manual</w:t>
      </w:r>
      <w:r w:rsidR="00E9639D">
        <w:rPr>
          <w:rFonts w:eastAsiaTheme="minorEastAsia"/>
        </w:rPr>
        <w:t xml:space="preserve"> (available at </w:t>
      </w:r>
      <w:r w:rsidR="00E9639D" w:rsidRPr="00931C89">
        <w:rPr>
          <w:rFonts w:eastAsiaTheme="minorEastAsia"/>
        </w:rPr>
        <w:t>https://www.naic.org/prod_serv_alpha_listing.htm</w:t>
      </w:r>
      <w:r w:rsidR="00E9639D">
        <w:rPr>
          <w:rFonts w:eastAsiaTheme="minorEastAsia"/>
        </w:rPr>
        <w:t>; this incorporation by reference does not include any subsequent edit</w:t>
      </w:r>
      <w:r w:rsidR="00E27A33">
        <w:rPr>
          <w:rFonts w:eastAsiaTheme="minorEastAsia"/>
        </w:rPr>
        <w:t>i</w:t>
      </w:r>
      <w:r w:rsidR="00E9639D">
        <w:rPr>
          <w:rFonts w:eastAsiaTheme="minorEastAsia"/>
        </w:rPr>
        <w:t>ons or amendments)</w:t>
      </w:r>
      <w:r w:rsidRPr="0061608C">
        <w:rPr>
          <w:rFonts w:eastAsiaTheme="minorEastAsia"/>
        </w:rPr>
        <w:t>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D)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Prohibit advancement of funds by the insurer to the affiliate except to pay for services defined in the agreement;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E)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State that the insurer will maintain oversight for functions provided to the insurer by the affiliate and that the insurer will monitor services annually for quality assurance;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F)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Define books and records of the insurer to include all books and records developed or maintained under or related to the agreement;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G)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Specify that all books and records of the insurer are and remain the property of the insurer, are subject to control of the insurer</w:t>
      </w:r>
      <w:r w:rsidR="007D5B2A">
        <w:rPr>
          <w:rFonts w:eastAsiaTheme="minorEastAsia"/>
        </w:rPr>
        <w:t>,</w:t>
      </w:r>
      <w:r w:rsidRPr="0061608C">
        <w:rPr>
          <w:rFonts w:eastAsiaTheme="minorEastAsia"/>
        </w:rPr>
        <w:t xml:space="preserve"> and will be made available to the Director;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H)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 xml:space="preserve">State that all funds and invested assets of the insurer are the exclusive property of the insurer, </w:t>
      </w:r>
      <w:r w:rsidR="007D5B2A">
        <w:rPr>
          <w:rFonts w:eastAsiaTheme="minorEastAsia"/>
        </w:rPr>
        <w:t xml:space="preserve">are </w:t>
      </w:r>
      <w:r w:rsidRPr="0061608C">
        <w:rPr>
          <w:rFonts w:eastAsiaTheme="minorEastAsia"/>
        </w:rPr>
        <w:t>held for the benefit of the insurer</w:t>
      </w:r>
      <w:r w:rsidR="007D5B2A">
        <w:rPr>
          <w:rFonts w:eastAsiaTheme="minorEastAsia"/>
        </w:rPr>
        <w:t>,</w:t>
      </w:r>
      <w:r w:rsidRPr="0061608C">
        <w:rPr>
          <w:rFonts w:eastAsiaTheme="minorEastAsia"/>
        </w:rPr>
        <w:t xml:space="preserve"> and are subject to the control of the insurer;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I)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Include standards for termination of the agreement</w:t>
      </w:r>
      <w:r w:rsidR="007D5B2A">
        <w:rPr>
          <w:rFonts w:eastAsiaTheme="minorEastAsia"/>
        </w:rPr>
        <w:t>,</w:t>
      </w:r>
      <w:r w:rsidRPr="0061608C">
        <w:rPr>
          <w:rFonts w:eastAsiaTheme="minorEastAsia"/>
        </w:rPr>
        <w:t xml:space="preserve"> with and without cause; 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J)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Include provisions for indemnification of the insurer in the event of gross negligence or willful misconduct on the part of the affiliate providing the services;</w:t>
      </w:r>
    </w:p>
    <w:p w:rsidR="007D5B2A" w:rsidRPr="0061608C" w:rsidRDefault="007D5B2A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K)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Specify that, if the insurer is placed in receivership or seized by the Director under Article XIII of the Code: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3600" w:hanging="720"/>
        <w:rPr>
          <w:rFonts w:eastAsiaTheme="minorEastAsia"/>
        </w:rPr>
      </w:pPr>
      <w:r w:rsidRPr="0061608C">
        <w:rPr>
          <w:rFonts w:eastAsiaTheme="minorEastAsia"/>
        </w:rPr>
        <w:t>i)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all of the rights of the insurer under the agreement extend to the receiver or Director; and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3600" w:hanging="720"/>
        <w:rPr>
          <w:rFonts w:eastAsiaTheme="minorEastAsia"/>
        </w:rPr>
      </w:pPr>
      <w:r w:rsidRPr="0061608C">
        <w:rPr>
          <w:rFonts w:eastAsiaTheme="minorEastAsia"/>
        </w:rPr>
        <w:t>ii)</w:t>
      </w:r>
      <w:r>
        <w:rPr>
          <w:rFonts w:eastAsiaTheme="minorEastAsia"/>
        </w:rPr>
        <w:tab/>
      </w:r>
      <w:r w:rsidRPr="0061608C">
        <w:rPr>
          <w:rFonts w:eastAsiaTheme="minorEastAsia"/>
        </w:rPr>
        <w:t>all books and records will immediately be made available  to the receiver or the Director, and shall be turned over to the receiver or Director</w:t>
      </w:r>
      <w:r w:rsidRPr="0061608C">
        <w:rPr>
          <w:rFonts w:eastAsiaTheme="minorEastAsia"/>
          <w:color w:val="FF0000"/>
        </w:rPr>
        <w:t xml:space="preserve"> </w:t>
      </w:r>
      <w:r w:rsidRPr="0061608C">
        <w:rPr>
          <w:rFonts w:eastAsiaTheme="minorEastAsia"/>
        </w:rPr>
        <w:t>immediately upon the receiver</w:t>
      </w:r>
      <w:r w:rsidR="007D5B2A">
        <w:rPr>
          <w:rFonts w:eastAsiaTheme="minorEastAsia"/>
        </w:rPr>
        <w:t>'s</w:t>
      </w:r>
      <w:r w:rsidRPr="0061608C">
        <w:rPr>
          <w:rFonts w:eastAsiaTheme="minorEastAsia"/>
        </w:rPr>
        <w:t xml:space="preserve"> or the Director</w:t>
      </w:r>
      <w:r w:rsidR="007D5B2A">
        <w:rPr>
          <w:rFonts w:eastAsiaTheme="minorEastAsia"/>
        </w:rPr>
        <w:t>'</w:t>
      </w:r>
      <w:r w:rsidRPr="0061608C">
        <w:rPr>
          <w:rFonts w:eastAsiaTheme="minorEastAsia"/>
        </w:rPr>
        <w:t>s  request;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L)</w:t>
      </w:r>
      <w:r w:rsidR="00A47DEC">
        <w:rPr>
          <w:rFonts w:eastAsiaTheme="minorEastAsia"/>
        </w:rPr>
        <w:tab/>
      </w:r>
      <w:r w:rsidRPr="0061608C">
        <w:rPr>
          <w:rFonts w:eastAsiaTheme="minorEastAsia"/>
        </w:rPr>
        <w:t xml:space="preserve">Specify that the affiliate has no automatic right to terminate the agreement if the insurer is placed in receivership pursuant to Article XIII of the </w:t>
      </w:r>
      <w:r>
        <w:rPr>
          <w:rFonts w:eastAsiaTheme="minorEastAsia"/>
        </w:rPr>
        <w:t>Code</w:t>
      </w:r>
      <w:r w:rsidRPr="0061608C">
        <w:rPr>
          <w:rFonts w:eastAsiaTheme="minorEastAsia"/>
        </w:rPr>
        <w:t>; and</w:t>
      </w:r>
    </w:p>
    <w:p w:rsidR="006C4877" w:rsidRPr="0061608C" w:rsidRDefault="006C4877" w:rsidP="00A53B1B">
      <w:pPr>
        <w:rPr>
          <w:rFonts w:eastAsiaTheme="minorEastAsia"/>
        </w:rPr>
      </w:pPr>
    </w:p>
    <w:p w:rsidR="006C4877" w:rsidRPr="0061608C" w:rsidRDefault="006C4877" w:rsidP="006C4877">
      <w:pPr>
        <w:ind w:left="2880" w:hanging="720"/>
        <w:rPr>
          <w:rFonts w:eastAsiaTheme="minorEastAsia"/>
        </w:rPr>
      </w:pPr>
      <w:r w:rsidRPr="0061608C">
        <w:rPr>
          <w:rFonts w:eastAsiaTheme="minorEastAsia"/>
        </w:rPr>
        <w:t>M)</w:t>
      </w:r>
      <w:r w:rsidR="00A47DEC">
        <w:rPr>
          <w:rFonts w:eastAsiaTheme="minorEastAsia"/>
        </w:rPr>
        <w:tab/>
      </w:r>
      <w:r w:rsidRPr="0061608C">
        <w:rPr>
          <w:rFonts w:eastAsiaTheme="minorEastAsia"/>
        </w:rPr>
        <w:t xml:space="preserve">Specify that the affiliate will continue to maintain any systems, programs, or other infrastructure notwithstanding a seizure pursuant to Article XIII of the Code, and will make them available to the receiver for </w:t>
      </w:r>
      <w:r w:rsidR="007D5B2A">
        <w:rPr>
          <w:rFonts w:eastAsiaTheme="minorEastAsia"/>
        </w:rPr>
        <w:t>as</w:t>
      </w:r>
      <w:r w:rsidRPr="0061608C">
        <w:rPr>
          <w:rFonts w:eastAsiaTheme="minorEastAsia"/>
        </w:rPr>
        <w:t xml:space="preserve"> long as the affiliate continues to receive timely payment for services rendered.</w:t>
      </w:r>
    </w:p>
    <w:p w:rsidR="006C4877" w:rsidRDefault="006C4877" w:rsidP="00A53B1B">
      <w:pPr>
        <w:widowControl w:val="0"/>
        <w:autoSpaceDE w:val="0"/>
        <w:autoSpaceDN w:val="0"/>
        <w:adjustRightInd w:val="0"/>
      </w:pPr>
    </w:p>
    <w:p w:rsidR="004403DE" w:rsidRDefault="00A47DE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C095C">
        <w:t>3</w:t>
      </w:r>
      <w:r>
        <w:t xml:space="preserve"> Ill. Reg. </w:t>
      </w:r>
      <w:r w:rsidR="0083379A">
        <w:t>373</w:t>
      </w:r>
      <w:r>
        <w:t xml:space="preserve">, effective </w:t>
      </w:r>
      <w:r w:rsidR="0083379A">
        <w:t>December 21, 2018</w:t>
      </w:r>
      <w:r>
        <w:t>)</w:t>
      </w:r>
      <w:bookmarkStart w:id="0" w:name="_GoBack"/>
      <w:bookmarkEnd w:id="0"/>
    </w:p>
    <w:sectPr w:rsidR="004403DE" w:rsidSect="00E00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CDB"/>
    <w:rsid w:val="000B419F"/>
    <w:rsid w:val="000C2949"/>
    <w:rsid w:val="000D50C3"/>
    <w:rsid w:val="004403DE"/>
    <w:rsid w:val="004571E3"/>
    <w:rsid w:val="00460B5E"/>
    <w:rsid w:val="004D6367"/>
    <w:rsid w:val="004E5FD1"/>
    <w:rsid w:val="005C3366"/>
    <w:rsid w:val="005C3DE4"/>
    <w:rsid w:val="005E5734"/>
    <w:rsid w:val="006C4877"/>
    <w:rsid w:val="007D5B2A"/>
    <w:rsid w:val="0083379A"/>
    <w:rsid w:val="00911EB1"/>
    <w:rsid w:val="00931C89"/>
    <w:rsid w:val="009A187B"/>
    <w:rsid w:val="00A47DEC"/>
    <w:rsid w:val="00A53B1B"/>
    <w:rsid w:val="00A74EA3"/>
    <w:rsid w:val="00A93BD1"/>
    <w:rsid w:val="00CC095C"/>
    <w:rsid w:val="00E00CDB"/>
    <w:rsid w:val="00E27A33"/>
    <w:rsid w:val="00E9639D"/>
    <w:rsid w:val="00F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4142C6-7400-4BC5-8112-3DD3B5C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854</vt:lpstr>
    </vt:vector>
  </TitlesOfParts>
  <Company>state of illinois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854</dc:title>
  <dc:subject/>
  <dc:creator>Illinois General Assembly</dc:creator>
  <cp:keywords/>
  <dc:description/>
  <cp:lastModifiedBy>Lane, Arlene L.</cp:lastModifiedBy>
  <cp:revision>5</cp:revision>
  <dcterms:created xsi:type="dcterms:W3CDTF">2018-12-17T16:03:00Z</dcterms:created>
  <dcterms:modified xsi:type="dcterms:W3CDTF">2019-01-03T22:18:00Z</dcterms:modified>
</cp:coreProperties>
</file>