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17B" w:rsidRDefault="00007D8E" w:rsidP="00007D8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44:  GOVERNMENT CONTRACTS, PROCUREMENT</w:t>
      </w:r>
    </w:p>
    <w:p w:rsidR="00007D8E" w:rsidRDefault="00007D8E" w:rsidP="00007D8E">
      <w:pPr>
        <w:widowControl w:val="0"/>
        <w:autoSpaceDE w:val="0"/>
        <w:autoSpaceDN w:val="0"/>
        <w:adjustRightInd w:val="0"/>
        <w:jc w:val="center"/>
      </w:pPr>
      <w:r>
        <w:t xml:space="preserve"> AND PROPERTY MANAGEMENT</w:t>
      </w:r>
    </w:p>
    <w:sectPr w:rsidR="00007D8E" w:rsidSect="00007D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7D8E"/>
    <w:rsid w:val="00007D8E"/>
    <w:rsid w:val="00362F4F"/>
    <w:rsid w:val="005C3366"/>
    <w:rsid w:val="006A117B"/>
    <w:rsid w:val="007D41D8"/>
    <w:rsid w:val="00E3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44:  GOVERNMENT CONTRACTS, PROCUREMENT AND PROPERTY MANAGEMENT</vt:lpstr>
    </vt:vector>
  </TitlesOfParts>
  <Company>General Assembly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44:  GOVERNMENT CONTRACTS, PROCUREMENT AND PROPERTY MANAGEMENT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