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E0" w:rsidRDefault="00C372E0" w:rsidP="00C372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2E0" w:rsidRDefault="00C372E0" w:rsidP="00C372E0">
      <w:pPr>
        <w:widowControl w:val="0"/>
        <w:autoSpaceDE w:val="0"/>
        <w:autoSpaceDN w:val="0"/>
        <w:adjustRightInd w:val="0"/>
      </w:pPr>
      <w:r>
        <w:t xml:space="preserve">AUTHORITY:  Implementing the Boiler and Pressure Vessel Safety Act [430 ILCS 75] and the Boiler and Pressure Vessel Repairer Regulation Act [225 ILCS 203] and authorized by Section 16 of the Boiler and Pressure Vessel Safety Act [430 ILCS 75/16] and Section 25 of the Boiler and Pressure Vessel Repairer Regulation Act [225 ILCS 203/25]. </w:t>
      </w:r>
    </w:p>
    <w:sectPr w:rsidR="00C372E0" w:rsidSect="00C372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2E0"/>
    <w:rsid w:val="001D0B66"/>
    <w:rsid w:val="0035146C"/>
    <w:rsid w:val="005C3366"/>
    <w:rsid w:val="008F03DC"/>
    <w:rsid w:val="00C3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Boiler and Pressure Vessel Safety Act [430 ILCS 75] and the Boiler and Pressure Vessel Repairer R</vt:lpstr>
    </vt:vector>
  </TitlesOfParts>
  <Company>General Assembly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Boiler and Pressure Vessel Safety Act [430 ILCS 75] and the Boiler and Pressure Vessel Repairer R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