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8D" w:rsidRDefault="002A748D" w:rsidP="002A74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48D" w:rsidRDefault="002A748D" w:rsidP="002A748D">
      <w:pPr>
        <w:widowControl w:val="0"/>
        <w:autoSpaceDE w:val="0"/>
        <w:autoSpaceDN w:val="0"/>
        <w:adjustRightInd w:val="0"/>
      </w:pPr>
      <w:r>
        <w:t>AUTHORITY:  Implementing and authorized by Section 15 of the Furniture Fire Safety Act</w:t>
      </w:r>
      <w:r w:rsidR="006C6B2B">
        <w:t xml:space="preserve"> (Ill. Rev. Stat. 1991, </w:t>
      </w:r>
      <w:proofErr w:type="spellStart"/>
      <w:r w:rsidR="006C6B2B">
        <w:t>ch.</w:t>
      </w:r>
      <w:proofErr w:type="spellEnd"/>
      <w:r w:rsidR="006C6B2B">
        <w:t xml:space="preserve"> 127½</w:t>
      </w:r>
      <w:r>
        <w:t xml:space="preserve">, par. 951-1 through 952-8). </w:t>
      </w:r>
    </w:p>
    <w:sectPr w:rsidR="002A748D" w:rsidSect="002A74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48D"/>
    <w:rsid w:val="002A748D"/>
    <w:rsid w:val="005C3366"/>
    <w:rsid w:val="006C6B2B"/>
    <w:rsid w:val="007A66E6"/>
    <w:rsid w:val="00AA62A9"/>
    <w:rsid w:val="00D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C6B2B"/>
    <w:pPr>
      <w:ind w:left="720" w:hanging="360"/>
    </w:pPr>
  </w:style>
  <w:style w:type="paragraph" w:styleId="BodyText">
    <w:name w:val="Body Text"/>
    <w:basedOn w:val="Normal"/>
    <w:rsid w:val="006C6B2B"/>
    <w:pPr>
      <w:spacing w:after="120"/>
    </w:pPr>
  </w:style>
  <w:style w:type="paragraph" w:styleId="BodyTextIndent">
    <w:name w:val="Body Text Indent"/>
    <w:basedOn w:val="Normal"/>
    <w:rsid w:val="006C6B2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C6B2B"/>
    <w:pPr>
      <w:ind w:left="720" w:hanging="360"/>
    </w:pPr>
  </w:style>
  <w:style w:type="paragraph" w:styleId="BodyText">
    <w:name w:val="Body Text"/>
    <w:basedOn w:val="Normal"/>
    <w:rsid w:val="006C6B2B"/>
    <w:pPr>
      <w:spacing w:after="120"/>
    </w:pPr>
  </w:style>
  <w:style w:type="paragraph" w:styleId="BodyTextIndent">
    <w:name w:val="Body Text Indent"/>
    <w:basedOn w:val="Normal"/>
    <w:rsid w:val="006C6B2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15 of the Furniture Fire Safety Act (Ill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15 of the Furniture Fire Safety Act (Ill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