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5C" w:rsidRDefault="007F365C" w:rsidP="007F365C">
      <w:pPr>
        <w:rPr>
          <w:b/>
        </w:rPr>
      </w:pPr>
      <w:bookmarkStart w:id="0" w:name="_GoBack"/>
      <w:bookmarkEnd w:id="0"/>
    </w:p>
    <w:p w:rsidR="007F365C" w:rsidRPr="006D7B0D" w:rsidRDefault="007F365C" w:rsidP="007F365C">
      <w:pPr>
        <w:rPr>
          <w:b/>
        </w:rPr>
      </w:pPr>
      <w:r w:rsidRPr="006D7B0D">
        <w:rPr>
          <w:b/>
        </w:rPr>
        <w:t xml:space="preserve">Section 235.50  1.3G Fireworks Display Compliance Standards </w:t>
      </w:r>
    </w:p>
    <w:p w:rsidR="007F365C" w:rsidRPr="006D7B0D" w:rsidRDefault="007F365C" w:rsidP="007F365C"/>
    <w:p w:rsidR="007F365C" w:rsidRDefault="007F365C" w:rsidP="007F365C">
      <w:r w:rsidRPr="006D7B0D">
        <w:t xml:space="preserve">All 1.3G fireworks displays and storage shall be conducted in accordance with NFPA 1123.  Storage of display fireworks (1.3G and above) shall comply with the storage requirements set forth by </w:t>
      </w:r>
      <w:r>
        <w:t>ATF</w:t>
      </w:r>
      <w:r w:rsidRPr="006D7B0D">
        <w:t xml:space="preserve"> at 27 CFR 555 or by DNR pursuant to Article 3 of the Illinois Explosive Act.  Should there be a conflict between the requirements established by </w:t>
      </w:r>
      <w:r>
        <w:t>ATF</w:t>
      </w:r>
      <w:r w:rsidRPr="006D7B0D">
        <w:t xml:space="preserve"> and </w:t>
      </w:r>
      <w:r>
        <w:t>DNR</w:t>
      </w:r>
      <w:r w:rsidRPr="006D7B0D">
        <w:t>, those requirements that are more specific, more stringent, or impose requirements for which no like requirements are contained in the other agency</w:t>
      </w:r>
      <w:r>
        <w:t>'</w:t>
      </w:r>
      <w:r w:rsidRPr="006D7B0D">
        <w:t>s requirements shall control.</w:t>
      </w:r>
    </w:p>
    <w:p w:rsidR="007F365C" w:rsidRDefault="007F365C" w:rsidP="007F365C"/>
    <w:p w:rsidR="007F365C" w:rsidRPr="00D55B37" w:rsidRDefault="007F365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72D88">
        <w:t>16562</w:t>
      </w:r>
      <w:r w:rsidRPr="00D55B37">
        <w:t xml:space="preserve">, effective </w:t>
      </w:r>
      <w:r w:rsidR="00D72D88">
        <w:t>October 6, 2010</w:t>
      </w:r>
      <w:r w:rsidRPr="00D55B37">
        <w:t>)</w:t>
      </w:r>
    </w:p>
    <w:sectPr w:rsidR="007F365C" w:rsidRPr="00D55B37" w:rsidSect="007F365C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C9" w:rsidRDefault="000239C9">
      <w:r>
        <w:separator/>
      </w:r>
    </w:p>
  </w:endnote>
  <w:endnote w:type="continuationSeparator" w:id="0">
    <w:p w:rsidR="000239C9" w:rsidRDefault="000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C9" w:rsidRDefault="000239C9">
      <w:r>
        <w:separator/>
      </w:r>
    </w:p>
  </w:footnote>
  <w:footnote w:type="continuationSeparator" w:id="0">
    <w:p w:rsidR="000239C9" w:rsidRDefault="0002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FEE"/>
    <w:rsid w:val="00001F1D"/>
    <w:rsid w:val="00003CEF"/>
    <w:rsid w:val="00011A7D"/>
    <w:rsid w:val="000122C7"/>
    <w:rsid w:val="00014324"/>
    <w:rsid w:val="000158C8"/>
    <w:rsid w:val="00016F74"/>
    <w:rsid w:val="00023902"/>
    <w:rsid w:val="000239C9"/>
    <w:rsid w:val="00023DDC"/>
    <w:rsid w:val="0002469F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4FEE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9EC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365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BE5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6A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3EA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2D88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6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6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