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22" w:rsidRDefault="006E3422" w:rsidP="006E3422">
      <w:bookmarkStart w:id="0" w:name="_GoBack"/>
      <w:bookmarkEnd w:id="0"/>
    </w:p>
    <w:p w:rsidR="006E3422" w:rsidRPr="006E3422" w:rsidRDefault="006E3422" w:rsidP="006E3422">
      <w:pPr>
        <w:rPr>
          <w:b/>
        </w:rPr>
      </w:pPr>
      <w:r w:rsidRPr="006E3422">
        <w:rPr>
          <w:b/>
        </w:rPr>
        <w:t xml:space="preserve">Section 230.65 </w:t>
      </w:r>
      <w:r>
        <w:rPr>
          <w:b/>
        </w:rPr>
        <w:t xml:space="preserve"> </w:t>
      </w:r>
      <w:r w:rsidRPr="006E3422">
        <w:rPr>
          <w:b/>
        </w:rPr>
        <w:t xml:space="preserve">Qualifications for Production Company Lead Operator Licensing Approval </w:t>
      </w:r>
    </w:p>
    <w:p w:rsidR="006E3422" w:rsidRPr="006E3422" w:rsidRDefault="006E3422" w:rsidP="006E3422"/>
    <w:p w:rsidR="006E3422" w:rsidRPr="006E3422" w:rsidRDefault="006E3422" w:rsidP="006E3422">
      <w:pPr>
        <w:ind w:firstLine="720"/>
      </w:pPr>
      <w:r>
        <w:t>a)</w:t>
      </w:r>
      <w:r>
        <w:tab/>
      </w:r>
      <w:r w:rsidRPr="006E3422">
        <w:t>Outdoor Professional Licensing Approval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1)</w:t>
      </w:r>
      <w:r>
        <w:tab/>
      </w:r>
      <w:r w:rsidRPr="006E3422">
        <w:t xml:space="preserve">No licensing approval shall be granted to an applicant who has not reached the age of 21 and met the requirements of the Act.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2)</w:t>
      </w:r>
      <w:r>
        <w:tab/>
      </w:r>
      <w:r w:rsidRPr="006E3422">
        <w:t xml:space="preserve">The applicant must have a current license or Letter of Clearance from </w:t>
      </w:r>
      <w:r w:rsidR="003C25DD">
        <w:t>ATF</w:t>
      </w:r>
      <w:r w:rsidR="007B3E10">
        <w:t xml:space="preserve"> </w:t>
      </w:r>
      <w:r w:rsidRPr="006E3422">
        <w:t>for the type of pyrotechnic service or pyrotechnic display provided.  In the event the applicant</w:t>
      </w:r>
      <w:r>
        <w:t>'</w:t>
      </w:r>
      <w:r w:rsidRPr="006E3422">
        <w:t xml:space="preserve">s license has expired, the applicant must submit proof from </w:t>
      </w:r>
      <w:r w:rsidR="007B3E10">
        <w:t xml:space="preserve">ATF </w:t>
      </w:r>
      <w:r w:rsidRPr="006E3422">
        <w:t>that the license is in the process of being renewed.  If an applicant has applied for, but not received, a</w:t>
      </w:r>
      <w:r w:rsidR="003C25DD">
        <w:t>n</w:t>
      </w:r>
      <w:r w:rsidRPr="006E3422">
        <w:t xml:space="preserve"> </w:t>
      </w:r>
      <w:r w:rsidR="007B3E10">
        <w:t xml:space="preserve">ATF </w:t>
      </w:r>
      <w:r w:rsidRPr="006E3422">
        <w:t xml:space="preserve">explosives license or a Letter of Clearance, or if the license is being renewed, </w:t>
      </w:r>
      <w:r w:rsidR="007B3E10">
        <w:t xml:space="preserve">OSFM </w:t>
      </w:r>
      <w:r w:rsidRPr="006E3422">
        <w:t xml:space="preserve">may issue the applicant temporary authorization to act until ATF issues the applicant an explosives license or Letter of Clearance, or renews the license.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3)</w:t>
      </w:r>
      <w:r>
        <w:tab/>
      </w:r>
      <w:r w:rsidRPr="006E3422">
        <w:t xml:space="preserve">The applicant must provide proof of successful completion of the DNR training program for pyrotechnic displays, including a current DNR individual explosives license number, or another program that OSFM determines to be substantially equivalent.  </w:t>
      </w:r>
    </w:p>
    <w:p w:rsidR="006E3422" w:rsidRPr="006E3422" w:rsidRDefault="006E3422" w:rsidP="006E3422"/>
    <w:p w:rsidR="006E3422" w:rsidRPr="006E3422" w:rsidRDefault="006E3422" w:rsidP="006E3422">
      <w:pPr>
        <w:ind w:firstLine="720"/>
      </w:pPr>
      <w:r>
        <w:t>b)</w:t>
      </w:r>
      <w:r>
        <w:tab/>
      </w:r>
      <w:r w:rsidRPr="006E3422">
        <w:t xml:space="preserve">Proximate Audience Licensing Approval 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1)</w:t>
      </w:r>
      <w:r>
        <w:tab/>
      </w:r>
      <w:r w:rsidRPr="006E3422">
        <w:t xml:space="preserve">No licensing approval shall be granted to an applicant who has not reached the age of 21 and met the requirements of the Act.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2)</w:t>
      </w:r>
      <w:r>
        <w:tab/>
      </w:r>
      <w:r w:rsidRPr="006E3422">
        <w:t xml:space="preserve">The applicant must have a current license or a Letter of Clearance from </w:t>
      </w:r>
      <w:r w:rsidR="007B3E10">
        <w:t>A</w:t>
      </w:r>
      <w:r w:rsidR="00D12A8F">
        <w:t>TF</w:t>
      </w:r>
      <w:r w:rsidR="007B3E10">
        <w:t xml:space="preserve"> </w:t>
      </w:r>
      <w:r w:rsidRPr="006E3422">
        <w:t>for the type of pyrotechnic service or pyrotechnic display provided.  In the event the applicant</w:t>
      </w:r>
      <w:r>
        <w:t>'</w:t>
      </w:r>
      <w:r w:rsidRPr="006E3422">
        <w:t xml:space="preserve">s license has expired, the applicant must submit proof from </w:t>
      </w:r>
      <w:r w:rsidR="007B3E10">
        <w:t xml:space="preserve">ATF </w:t>
      </w:r>
      <w:r w:rsidRPr="006E3422">
        <w:t>that the license is in the process of being renewed.  If an applicant has applied for, but not received, a</w:t>
      </w:r>
      <w:r w:rsidR="004F0378">
        <w:t>n</w:t>
      </w:r>
      <w:r w:rsidRPr="006E3422">
        <w:t xml:space="preserve"> </w:t>
      </w:r>
      <w:r w:rsidR="007B3E10">
        <w:t>AT</w:t>
      </w:r>
      <w:r w:rsidR="00D12A8F">
        <w:t>F</w:t>
      </w:r>
      <w:r w:rsidR="007B3E10">
        <w:t xml:space="preserve"> </w:t>
      </w:r>
      <w:r w:rsidRPr="006E3422">
        <w:t xml:space="preserve">explosives license or a Letter of Clearance, or if the license is being renewed, </w:t>
      </w:r>
      <w:r w:rsidR="007B3E10">
        <w:t xml:space="preserve">OSFM </w:t>
      </w:r>
      <w:r w:rsidRPr="006E3422">
        <w:t xml:space="preserve">may issue the applicant temporary authorization to act until </w:t>
      </w:r>
      <w:r w:rsidR="007B3E10">
        <w:t xml:space="preserve">ATF </w:t>
      </w:r>
      <w:r w:rsidRPr="006E3422">
        <w:t xml:space="preserve">issues the applicant an explosives license or Letter of Clearance, or renews the license.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3)</w:t>
      </w:r>
      <w:r>
        <w:tab/>
      </w:r>
      <w:r w:rsidRPr="006E3422">
        <w:t xml:space="preserve">The applicant must provide proof of successful completion of the DNR training program for pyrotechnic displays, including a current DNR individual explosives license number, or another program that OSFM determines to be substantially equivalent.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4)</w:t>
      </w:r>
      <w:r>
        <w:tab/>
      </w:r>
      <w:r w:rsidRPr="006E3422">
        <w:t>An applicant for a proximate audience licensing approval mus</w:t>
      </w:r>
      <w:r w:rsidR="00080E10">
        <w:t>t achieve a passing score of 80</w:t>
      </w:r>
      <w:r w:rsidRPr="006E3422">
        <w:t xml:space="preserve">% on a written examination administered by </w:t>
      </w:r>
      <w:r w:rsidR="007B3E10">
        <w:t xml:space="preserve">OSFM </w:t>
      </w:r>
      <w:r w:rsidRPr="006E3422">
        <w:t xml:space="preserve">in accordance with Section 230.120.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lastRenderedPageBreak/>
        <w:t>5)</w:t>
      </w:r>
      <w:r>
        <w:tab/>
      </w:r>
      <w:r w:rsidRPr="006E3422">
        <w:t xml:space="preserve">The applicant must submit evidence of experience that includes active participation in the safe performance of at least 10 proximate audience displays.  The applicant must have performed the duties of a lead operator in at least 2 of these displays (either pursuant to a license from another state or under the supervision of a lead operator). </w:t>
      </w:r>
    </w:p>
    <w:p w:rsidR="006E3422" w:rsidRPr="006E3422" w:rsidRDefault="006E3422" w:rsidP="006E3422"/>
    <w:p w:rsidR="006E3422" w:rsidRPr="006E3422" w:rsidRDefault="006E3422" w:rsidP="006E3422">
      <w:pPr>
        <w:ind w:left="720" w:firstLine="720"/>
      </w:pPr>
      <w:r>
        <w:t>6)</w:t>
      </w:r>
      <w:r>
        <w:tab/>
      </w:r>
      <w:r w:rsidRPr="006E3422">
        <w:t>Acceptable documentation of experience includes:</w:t>
      </w:r>
    </w:p>
    <w:p w:rsidR="006E3422" w:rsidRPr="006E3422" w:rsidRDefault="006E3422" w:rsidP="006E3422"/>
    <w:p w:rsidR="006E3422" w:rsidRPr="006E3422" w:rsidRDefault="006E3422" w:rsidP="006E3422">
      <w:pPr>
        <w:ind w:left="2880" w:hanging="720"/>
      </w:pPr>
      <w:r>
        <w:t>A)</w:t>
      </w:r>
      <w:r>
        <w:tab/>
      </w:r>
      <w:r w:rsidRPr="006E3422">
        <w:t xml:space="preserve">A copy of a display permit from an issuing authority that lists the applicant as an operator or assistant, including a letter from the issuing authority documenting that there were no injuries or property damage sustained from the display; or </w:t>
      </w:r>
    </w:p>
    <w:p w:rsidR="006E3422" w:rsidRPr="006E3422" w:rsidRDefault="006E3422" w:rsidP="006E3422"/>
    <w:p w:rsidR="006E3422" w:rsidRPr="006E3422" w:rsidRDefault="006E3422" w:rsidP="006E3422">
      <w:pPr>
        <w:ind w:left="1440" w:firstLine="720"/>
      </w:pPr>
      <w:r>
        <w:t>B)</w:t>
      </w:r>
      <w:r>
        <w:tab/>
      </w:r>
      <w:r w:rsidRPr="006E3422">
        <w:t>A copy of the Illinois Display Report (see Section 230.200).</w:t>
      </w:r>
    </w:p>
    <w:p w:rsidR="006E3422" w:rsidRPr="006E3422" w:rsidRDefault="006E3422" w:rsidP="006E3422"/>
    <w:p w:rsidR="006E3422" w:rsidRPr="006E3422" w:rsidRDefault="006E3422" w:rsidP="006E3422">
      <w:pPr>
        <w:ind w:firstLine="720"/>
      </w:pPr>
      <w:r>
        <w:t>c)</w:t>
      </w:r>
      <w:r>
        <w:tab/>
      </w:r>
      <w:r w:rsidRPr="006E3422">
        <w:t>Flame Effect Licensing Approval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1)</w:t>
      </w:r>
      <w:r>
        <w:tab/>
      </w:r>
      <w:r w:rsidRPr="006E3422">
        <w:t xml:space="preserve">No licensing approval shall be granted to an applicant who has not reached the age of 21 and met the requirements of the Act.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2)</w:t>
      </w:r>
      <w:r>
        <w:tab/>
      </w:r>
      <w:r w:rsidRPr="006E3422">
        <w:t xml:space="preserve">An applicant for a flame effect licensing approval must achieve a passing score of 80% on a written examination administered by </w:t>
      </w:r>
      <w:r w:rsidR="007B3E10">
        <w:t xml:space="preserve">OSFM </w:t>
      </w:r>
      <w:r w:rsidRPr="006E3422">
        <w:t xml:space="preserve">in accordance with Section 230.120. </w:t>
      </w:r>
    </w:p>
    <w:p w:rsidR="006E3422" w:rsidRPr="006E3422" w:rsidRDefault="006E3422" w:rsidP="006E3422"/>
    <w:p w:rsidR="006E3422" w:rsidRPr="006E3422" w:rsidRDefault="006E3422" w:rsidP="006E3422">
      <w:pPr>
        <w:ind w:left="2160" w:hanging="720"/>
      </w:pPr>
      <w:r>
        <w:t>3)</w:t>
      </w:r>
      <w:r>
        <w:tab/>
      </w:r>
      <w:r w:rsidRPr="006E3422">
        <w:t xml:space="preserve">The applicant must submit evidence of experience, which must include active participation as a lead operator or assistant in the safe performance of at least 10 flame effect displays.  The applicant must have performed the duties of a lead operator in at least 2 of these flame effect displays (either pursuant to a license from another state or under the supervision of a lead operator). </w:t>
      </w:r>
    </w:p>
    <w:p w:rsidR="006E3422" w:rsidRPr="006E3422" w:rsidRDefault="006E3422" w:rsidP="006E3422"/>
    <w:p w:rsidR="006E3422" w:rsidRDefault="006E3422" w:rsidP="006E3422">
      <w:pPr>
        <w:ind w:left="720" w:firstLine="720"/>
      </w:pPr>
      <w:r>
        <w:t>4)</w:t>
      </w:r>
      <w:r>
        <w:tab/>
      </w:r>
      <w:r w:rsidRPr="006E3422">
        <w:t xml:space="preserve">Acceptable documentation of experience includes: </w:t>
      </w:r>
    </w:p>
    <w:p w:rsidR="006E3422" w:rsidRPr="006E3422" w:rsidRDefault="006E3422" w:rsidP="006E3422">
      <w:pPr>
        <w:ind w:left="720" w:firstLine="720"/>
      </w:pPr>
    </w:p>
    <w:p w:rsidR="006E3422" w:rsidRPr="006E3422" w:rsidRDefault="006E3422" w:rsidP="006E3422">
      <w:pPr>
        <w:ind w:left="2880" w:hanging="720"/>
      </w:pPr>
      <w:r>
        <w:t>A)</w:t>
      </w:r>
      <w:r>
        <w:tab/>
      </w:r>
      <w:r w:rsidRPr="006E3422">
        <w:t xml:space="preserve">A copy of a display permit from an issuing authority that lists the applicant as an operator or assistant, including a letter from the issuing authority documenting that there were no injuries or property damage sustained from the flame effect display; or </w:t>
      </w:r>
    </w:p>
    <w:p w:rsidR="006E3422" w:rsidRPr="006E3422" w:rsidRDefault="006E3422" w:rsidP="006E3422"/>
    <w:p w:rsidR="006E3422" w:rsidRPr="006E3422" w:rsidRDefault="006E3422" w:rsidP="006E3422">
      <w:pPr>
        <w:ind w:left="1440" w:firstLine="720"/>
      </w:pPr>
      <w:r>
        <w:t>B)</w:t>
      </w:r>
      <w:r>
        <w:tab/>
      </w:r>
      <w:r w:rsidRPr="006E3422">
        <w:t xml:space="preserve">A copy of the Illinois Display Report (see Section 230.200). </w:t>
      </w:r>
    </w:p>
    <w:p w:rsidR="001C71C2" w:rsidRDefault="001C71C2" w:rsidP="006E3422"/>
    <w:p w:rsidR="0019645C" w:rsidRPr="00766027" w:rsidRDefault="0019645C" w:rsidP="0019645C">
      <w:pPr>
        <w:ind w:left="1440" w:hanging="720"/>
      </w:pPr>
      <w:r>
        <w:t>d)</w:t>
      </w:r>
      <w:r>
        <w:tab/>
      </w:r>
      <w:r w:rsidRPr="00766027">
        <w:t>Additional Requirements for Licensed Lead Pyrotechnic Operator Employed by Production Company</w:t>
      </w:r>
    </w:p>
    <w:p w:rsidR="0019645C" w:rsidRPr="00766027" w:rsidRDefault="0019645C" w:rsidP="0019645C">
      <w:pPr>
        <w:ind w:left="1440"/>
      </w:pPr>
      <w:r w:rsidRPr="00766027">
        <w:t xml:space="preserve">The lead pyrotechnic operator employed by a licensed production company may be required by the production company to have and provide an Identification Number and Hazardous Materials Registration Number issued by USDOT or </w:t>
      </w:r>
      <w:r w:rsidRPr="00766027">
        <w:lastRenderedPageBreak/>
        <w:t xml:space="preserve">provide </w:t>
      </w:r>
      <w:r w:rsidR="00D12A8F">
        <w:t>OSFM</w:t>
      </w:r>
      <w:r w:rsidRPr="00766027">
        <w:t xml:space="preserve"> the appropriate information and affidavit as is required in Section 230.55</w:t>
      </w:r>
      <w:r w:rsidR="00D12A8F">
        <w:t>(</w:t>
      </w:r>
      <w:r w:rsidRPr="00766027">
        <w:t>b).</w:t>
      </w:r>
    </w:p>
    <w:p w:rsidR="0019645C" w:rsidRDefault="0019645C" w:rsidP="006E3422"/>
    <w:p w:rsidR="006E3422" w:rsidRPr="00D55B37" w:rsidRDefault="006E3422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8A0BA8">
        <w:t>16524</w:t>
      </w:r>
      <w:r w:rsidRPr="00D55B37">
        <w:t xml:space="preserve">, effective </w:t>
      </w:r>
      <w:r w:rsidR="008A0BA8">
        <w:t>October 6, 2010</w:t>
      </w:r>
      <w:r w:rsidRPr="00D55B37">
        <w:t>)</w:t>
      </w:r>
    </w:p>
    <w:sectPr w:rsidR="006E342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E5" w:rsidRDefault="006A16E5">
      <w:r>
        <w:separator/>
      </w:r>
    </w:p>
  </w:endnote>
  <w:endnote w:type="continuationSeparator" w:id="0">
    <w:p w:rsidR="006A16E5" w:rsidRDefault="006A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E5" w:rsidRDefault="006A16E5">
      <w:r>
        <w:separator/>
      </w:r>
    </w:p>
  </w:footnote>
  <w:footnote w:type="continuationSeparator" w:id="0">
    <w:p w:rsidR="006A16E5" w:rsidRDefault="006A1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601"/>
    <w:multiLevelType w:val="hybridMultilevel"/>
    <w:tmpl w:val="F898817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B420D"/>
    <w:multiLevelType w:val="hybridMultilevel"/>
    <w:tmpl w:val="390AC3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7557A"/>
    <w:multiLevelType w:val="hybridMultilevel"/>
    <w:tmpl w:val="4022A89C"/>
    <w:lvl w:ilvl="0" w:tplc="863E71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3F5F9F"/>
    <w:multiLevelType w:val="multilevel"/>
    <w:tmpl w:val="2320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5D572F76"/>
    <w:multiLevelType w:val="hybridMultilevel"/>
    <w:tmpl w:val="0F32536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03BA1"/>
    <w:multiLevelType w:val="hybridMultilevel"/>
    <w:tmpl w:val="CE063982"/>
    <w:lvl w:ilvl="0" w:tplc="8CD2C610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A962130"/>
    <w:multiLevelType w:val="hybridMultilevel"/>
    <w:tmpl w:val="C88AEBB0"/>
    <w:lvl w:ilvl="0" w:tplc="1EBEC76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55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5BF9"/>
    <w:rsid w:val="0004011F"/>
    <w:rsid w:val="00040881"/>
    <w:rsid w:val="00042314"/>
    <w:rsid w:val="00050531"/>
    <w:rsid w:val="00057192"/>
    <w:rsid w:val="0006041A"/>
    <w:rsid w:val="00066013"/>
    <w:rsid w:val="000676A6"/>
    <w:rsid w:val="0006787B"/>
    <w:rsid w:val="00074368"/>
    <w:rsid w:val="000765E0"/>
    <w:rsid w:val="00080E10"/>
    <w:rsid w:val="00083E97"/>
    <w:rsid w:val="0008539F"/>
    <w:rsid w:val="00085CDF"/>
    <w:rsid w:val="0008689B"/>
    <w:rsid w:val="000943C4"/>
    <w:rsid w:val="00097B01"/>
    <w:rsid w:val="000A4C0F"/>
    <w:rsid w:val="000A6E1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45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ADB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6750"/>
    <w:rsid w:val="00311C50"/>
    <w:rsid w:val="0031355A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9D1"/>
    <w:rsid w:val="003B419A"/>
    <w:rsid w:val="003B5138"/>
    <w:rsid w:val="003B78C5"/>
    <w:rsid w:val="003C07D2"/>
    <w:rsid w:val="003C25DD"/>
    <w:rsid w:val="003D0D44"/>
    <w:rsid w:val="003D12E4"/>
    <w:rsid w:val="003D4D4A"/>
    <w:rsid w:val="003E7B8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378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9E1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6E5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422"/>
    <w:rsid w:val="006E6D53"/>
    <w:rsid w:val="006F36BD"/>
    <w:rsid w:val="006F7BF8"/>
    <w:rsid w:val="00700FB4"/>
    <w:rsid w:val="00702A38"/>
    <w:rsid w:val="00703DC3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E1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2F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BA8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07B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A8F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AC9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4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E3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4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E3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