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43C8" w14:textId="77777777" w:rsidR="0034137B" w:rsidRDefault="0034137B" w:rsidP="007E4DC6">
      <w:pPr>
        <w:rPr>
          <w:rFonts w:ascii="Times New Roman" w:eastAsia="Times New Roman" w:hAnsi="Times New Roman"/>
          <w:b/>
          <w:bCs/>
          <w:color w:val="000000"/>
          <w:sz w:val="24"/>
          <w:szCs w:val="27"/>
        </w:rPr>
      </w:pPr>
    </w:p>
    <w:p w14:paraId="4CB5428B" w14:textId="10EA81EE" w:rsidR="007E4DC6" w:rsidRPr="00421B46" w:rsidRDefault="007E4DC6" w:rsidP="007E4DC6">
      <w:pPr>
        <w:rPr>
          <w:rFonts w:ascii="Times New Roman" w:eastAsia="Times New Roman" w:hAnsi="Times New Roman"/>
          <w:color w:val="000000"/>
          <w:sz w:val="24"/>
          <w:szCs w:val="27"/>
        </w:rPr>
      </w:pPr>
      <w:r w:rsidRPr="00421B46">
        <w:rPr>
          <w:rFonts w:ascii="Times New Roman" w:eastAsia="Times New Roman" w:hAnsi="Times New Roman"/>
          <w:b/>
          <w:bCs/>
          <w:color w:val="000000"/>
          <w:sz w:val="24"/>
          <w:szCs w:val="27"/>
        </w:rPr>
        <w:t xml:space="preserve">Section </w:t>
      </w:r>
      <w:proofErr w:type="gramStart"/>
      <w:r w:rsidRPr="00421B46">
        <w:rPr>
          <w:rFonts w:ascii="Times New Roman" w:eastAsia="Times New Roman" w:hAnsi="Times New Roman"/>
          <w:b/>
          <w:bCs/>
          <w:color w:val="000000"/>
          <w:sz w:val="24"/>
          <w:szCs w:val="27"/>
        </w:rPr>
        <w:t>176.450</w:t>
      </w:r>
      <w:r>
        <w:rPr>
          <w:rFonts w:ascii="Times New Roman" w:eastAsia="Times New Roman" w:hAnsi="Times New Roman"/>
          <w:b/>
          <w:bCs/>
          <w:color w:val="000000"/>
          <w:sz w:val="24"/>
          <w:szCs w:val="27"/>
        </w:rPr>
        <w:t xml:space="preserve"> </w:t>
      </w:r>
      <w:r w:rsidRPr="00421B46">
        <w:rPr>
          <w:rFonts w:ascii="Times New Roman" w:eastAsia="Times New Roman" w:hAnsi="Times New Roman"/>
          <w:b/>
          <w:bCs/>
          <w:color w:val="000000"/>
          <w:sz w:val="24"/>
          <w:szCs w:val="27"/>
        </w:rPr>
        <w:t xml:space="preserve"> UST</w:t>
      </w:r>
      <w:proofErr w:type="gramEnd"/>
      <w:r w:rsidRPr="00421B46">
        <w:rPr>
          <w:rFonts w:ascii="Times New Roman" w:eastAsia="Times New Roman" w:hAnsi="Times New Roman"/>
          <w:b/>
          <w:bCs/>
          <w:color w:val="000000"/>
          <w:sz w:val="24"/>
          <w:szCs w:val="27"/>
        </w:rPr>
        <w:t xml:space="preserve"> Registration Fees</w:t>
      </w:r>
    </w:p>
    <w:p w14:paraId="60C6B73F" w14:textId="37174552" w:rsidR="007E4DC6" w:rsidRPr="00421B46" w:rsidRDefault="007E4DC6" w:rsidP="007E4DC6">
      <w:pPr>
        <w:rPr>
          <w:rFonts w:ascii="Times New Roman" w:eastAsia="Times New Roman" w:hAnsi="Times New Roman"/>
          <w:color w:val="000000"/>
          <w:sz w:val="24"/>
          <w:szCs w:val="27"/>
        </w:rPr>
      </w:pPr>
    </w:p>
    <w:p w14:paraId="4CE1627A" w14:textId="65F6C397" w:rsidR="007E4DC6" w:rsidRPr="00421B46" w:rsidRDefault="007E4DC6" w:rsidP="007E4DC6">
      <w:pPr>
        <w:ind w:left="1440" w:hanging="720"/>
        <w:rPr>
          <w:rFonts w:ascii="Times New Roman" w:eastAsia="Times New Roman" w:hAnsi="Times New Roman"/>
          <w:color w:val="000000"/>
          <w:sz w:val="24"/>
          <w:szCs w:val="27"/>
        </w:rPr>
      </w:pP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a)</w:t>
      </w:r>
      <w:r>
        <w:rPr>
          <w:rFonts w:ascii="Times New Roman" w:eastAsia="Times New Roman" w:hAnsi="Times New Roman"/>
          <w:color w:val="000000"/>
          <w:sz w:val="24"/>
          <w:szCs w:val="27"/>
        </w:rPr>
        <w:tab/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For USTs, with the exception of USTs containing heating oil for consumptive use on the premises where stored, the owner of any petroleum or hazardous substance</w:t>
      </w:r>
      <w:r w:rsidRPr="007E4DC6">
        <w:rPr>
          <w:rFonts w:ascii="Times New Roman" w:eastAsia="Times New Roman" w:hAnsi="Times New Roman"/>
          <w:color w:val="000000"/>
          <w:sz w:val="24"/>
          <w:szCs w:val="27"/>
        </w:rPr>
        <w:t xml:space="preserve"> </w:t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UST required to be registered with </w:t>
      </w:r>
      <w:proofErr w:type="spellStart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OSFM</w:t>
      </w:r>
      <w:proofErr w:type="spellEnd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prior to September 24, 1987, and who did not do so, shall register and pay </w:t>
      </w:r>
      <w:proofErr w:type="spellStart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OSFM</w:t>
      </w:r>
      <w:proofErr w:type="spellEnd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a registration fee of $500 per </w:t>
      </w:r>
      <w:proofErr w:type="gramStart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tank.</w:t>
      </w:r>
      <w:r>
        <w:rPr>
          <w:rFonts w:ascii="Times New Roman" w:eastAsia="Times New Roman" w:hAnsi="Times New Roman"/>
          <w:color w:val="000000"/>
          <w:sz w:val="24"/>
          <w:szCs w:val="27"/>
        </w:rPr>
        <w:t>.</w:t>
      </w:r>
      <w:proofErr w:type="gramEnd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7"/>
        </w:rPr>
        <w:t xml:space="preserve">This fee </w:t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is to be </w:t>
      </w:r>
      <w:r>
        <w:rPr>
          <w:rFonts w:ascii="Times New Roman" w:eastAsia="Times New Roman" w:hAnsi="Times New Roman"/>
          <w:color w:val="000000"/>
          <w:sz w:val="24"/>
          <w:szCs w:val="27"/>
        </w:rPr>
        <w:t>paid</w:t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by check or money order made payable to Office of the State Fire Marshal</w:t>
      </w:r>
      <w:r>
        <w:rPr>
          <w:rFonts w:ascii="Times New Roman" w:eastAsia="Times New Roman" w:hAnsi="Times New Roman"/>
          <w:color w:val="000000"/>
          <w:sz w:val="24"/>
          <w:szCs w:val="27"/>
        </w:rPr>
        <w:t>,</w:t>
      </w:r>
      <w:r w:rsidRPr="007E4DC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 electronic payment via the electronic Notification for Underground Storage Tanks form, available at the forms page for the Division of Petroleum and Chemical Safety at</w:t>
      </w:r>
      <w:r w:rsidR="008C7CDD">
        <w:rPr>
          <w:rFonts w:ascii="Times New Roman" w:eastAsia="Times New Roman" w:hAnsi="Times New Roman"/>
          <w:sz w:val="24"/>
          <w:szCs w:val="24"/>
        </w:rPr>
        <w:t xml:space="preserve"> </w:t>
      </w:r>
      <w:r w:rsidR="008C7CDD" w:rsidRPr="008C7CDD">
        <w:rPr>
          <w:rFonts w:ascii="Times New Roman" w:hAnsi="Times New Roman"/>
          <w:sz w:val="24"/>
          <w:szCs w:val="24"/>
        </w:rPr>
        <w:t>https://sfm.illinois.gov/about/divisions/petroleum-chemical-safety/applications-and-forms.html</w:t>
      </w:r>
      <w:r w:rsidRPr="008C7CDD">
        <w:rPr>
          <w:rFonts w:ascii="Times New Roman" w:hAnsi="Times New Roman"/>
          <w:sz w:val="24"/>
          <w:szCs w:val="24"/>
        </w:rPr>
        <w:t>.</w:t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For purposes of this subsection, "owner" refers only to the last owner as of September 23, 1987.</w:t>
      </w:r>
    </w:p>
    <w:p w14:paraId="7D8BB723" w14:textId="7AAFB076" w:rsidR="007E4DC6" w:rsidRPr="00421B46" w:rsidRDefault="007E4DC6" w:rsidP="007E4DC6">
      <w:pPr>
        <w:rPr>
          <w:rFonts w:ascii="Times New Roman" w:eastAsia="Times New Roman" w:hAnsi="Times New Roman"/>
          <w:color w:val="000000"/>
          <w:sz w:val="24"/>
          <w:szCs w:val="27"/>
        </w:rPr>
      </w:pPr>
    </w:p>
    <w:p w14:paraId="73FDAB3A" w14:textId="77777777" w:rsidR="007E4DC6" w:rsidRPr="00421B46" w:rsidRDefault="007E4DC6" w:rsidP="007E4DC6">
      <w:pPr>
        <w:ind w:left="1440" w:hanging="720"/>
        <w:rPr>
          <w:rFonts w:ascii="Times New Roman" w:eastAsia="Times New Roman" w:hAnsi="Times New Roman"/>
          <w:color w:val="000000"/>
          <w:sz w:val="24"/>
          <w:szCs w:val="27"/>
        </w:rPr>
      </w:pP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b)</w:t>
      </w:r>
      <w:r>
        <w:rPr>
          <w:rFonts w:ascii="Times New Roman" w:eastAsia="Times New Roman" w:hAnsi="Times New Roman"/>
          <w:color w:val="000000"/>
          <w:sz w:val="24"/>
          <w:szCs w:val="27"/>
        </w:rPr>
        <w:tab/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For USTs containing heating oil greater than 110 gallons for consumptive use on the premises where stored:</w:t>
      </w:r>
    </w:p>
    <w:p w14:paraId="659ED777" w14:textId="411196FA" w:rsidR="007E4DC6" w:rsidRPr="00421B46" w:rsidRDefault="007E4DC6" w:rsidP="007E4DC6">
      <w:pPr>
        <w:rPr>
          <w:rFonts w:ascii="Times New Roman" w:eastAsia="Times New Roman" w:hAnsi="Times New Roman"/>
          <w:color w:val="000000"/>
          <w:sz w:val="24"/>
          <w:szCs w:val="27"/>
        </w:rPr>
      </w:pPr>
    </w:p>
    <w:p w14:paraId="19BCD2C4" w14:textId="364D7AFC" w:rsidR="007E4DC6" w:rsidRPr="00421B46" w:rsidRDefault="007E4DC6" w:rsidP="007E4DC6">
      <w:pPr>
        <w:ind w:left="2160" w:hanging="720"/>
        <w:rPr>
          <w:rFonts w:ascii="Times New Roman" w:eastAsia="Times New Roman" w:hAnsi="Times New Roman"/>
          <w:color w:val="000000"/>
          <w:sz w:val="24"/>
          <w:szCs w:val="27"/>
        </w:rPr>
      </w:pP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1)</w:t>
      </w:r>
      <w:r>
        <w:rPr>
          <w:rFonts w:ascii="Times New Roman" w:eastAsia="Times New Roman" w:hAnsi="Times New Roman"/>
          <w:color w:val="000000"/>
          <w:sz w:val="24"/>
          <w:szCs w:val="27"/>
        </w:rPr>
        <w:tab/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The owner of any heating oil UST in the ground as of September 6, 1991 who first registered the tank with </w:t>
      </w:r>
      <w:proofErr w:type="spellStart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OSFM</w:t>
      </w:r>
      <w:proofErr w:type="spellEnd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prior to July 2, 1992 shall pay to </w:t>
      </w:r>
      <w:proofErr w:type="spellStart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OSFM</w:t>
      </w:r>
      <w:proofErr w:type="spellEnd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a registration fee of $100 per tank. </w:t>
      </w:r>
      <w:r w:rsidR="00744AF9">
        <w:rPr>
          <w:rFonts w:ascii="Times New Roman" w:eastAsia="Times New Roman" w:hAnsi="Times New Roman"/>
          <w:color w:val="000000"/>
          <w:sz w:val="24"/>
          <w:szCs w:val="27"/>
        </w:rPr>
        <w:t xml:space="preserve">This fee </w:t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is to be</w:t>
      </w:r>
      <w:r>
        <w:rPr>
          <w:rFonts w:ascii="Times New Roman" w:eastAsia="Times New Roman" w:hAnsi="Times New Roman"/>
          <w:color w:val="000000"/>
          <w:sz w:val="24"/>
          <w:szCs w:val="27"/>
        </w:rPr>
        <w:t xml:space="preserve"> </w:t>
      </w:r>
      <w:r w:rsidR="00744AF9">
        <w:rPr>
          <w:rFonts w:ascii="Times New Roman" w:eastAsia="Times New Roman" w:hAnsi="Times New Roman"/>
          <w:color w:val="000000"/>
          <w:sz w:val="24"/>
          <w:szCs w:val="27"/>
        </w:rPr>
        <w:t>paid</w:t>
      </w:r>
      <w:r w:rsidR="00744AF9"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</w:t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by check or money order made payable to Office of the State Fire Marshal</w:t>
      </w:r>
      <w:r w:rsidR="00744AF9">
        <w:rPr>
          <w:rFonts w:ascii="Times New Roman" w:eastAsia="Times New Roman" w:hAnsi="Times New Roman"/>
          <w:sz w:val="24"/>
          <w:szCs w:val="24"/>
        </w:rPr>
        <w:t>, or electronic payment via the electronic Notification for Underground Storage Tanks form, available at the forms page for the Division of Petroleum and Chemical Safety at</w:t>
      </w:r>
      <w:r w:rsidR="00744AF9" w:rsidRPr="00372B0B">
        <w:rPr>
          <w:rFonts w:ascii="Times New Roman" w:eastAsia="Times New Roman" w:hAnsi="Times New Roman"/>
          <w:sz w:val="24"/>
          <w:szCs w:val="24"/>
        </w:rPr>
        <w:t xml:space="preserve"> </w:t>
      </w:r>
      <w:r w:rsidR="00744AF9" w:rsidRPr="00265161">
        <w:rPr>
          <w:rFonts w:ascii="Times New Roman" w:eastAsia="Times New Roman" w:hAnsi="Times New Roman"/>
          <w:sz w:val="24"/>
          <w:szCs w:val="24"/>
        </w:rPr>
        <w:t>the website cited in subsection (a)</w:t>
      </w:r>
      <w:r w:rsidR="00CA3930" w:rsidRPr="00CA3930">
        <w:rPr>
          <w:rFonts w:ascii="Times New Roman" w:eastAsia="Times New Roman" w:hAnsi="Times New Roman"/>
          <w:sz w:val="24"/>
          <w:szCs w:val="24"/>
        </w:rPr>
        <w:t xml:space="preserve"> </w:t>
      </w:r>
      <w:r w:rsidR="00CA3930">
        <w:rPr>
          <w:rFonts w:ascii="Times New Roman" w:eastAsia="Times New Roman" w:hAnsi="Times New Roman"/>
          <w:sz w:val="24"/>
          <w:szCs w:val="24"/>
        </w:rPr>
        <w:t>or electronic payment via the electronic Notification for Underground Storage Tanks form, available at the forms page for the Division of Petroleum and Chemical Safety at</w:t>
      </w:r>
      <w:r w:rsidR="00CA3930" w:rsidRPr="00372B0B">
        <w:rPr>
          <w:rFonts w:ascii="Times New Roman" w:eastAsia="Times New Roman" w:hAnsi="Times New Roman"/>
          <w:sz w:val="24"/>
          <w:szCs w:val="24"/>
        </w:rPr>
        <w:t xml:space="preserve"> </w:t>
      </w:r>
      <w:r w:rsidR="00CA3930" w:rsidRPr="00265161">
        <w:rPr>
          <w:rFonts w:ascii="Times New Roman" w:eastAsia="Times New Roman" w:hAnsi="Times New Roman"/>
          <w:sz w:val="24"/>
          <w:szCs w:val="24"/>
        </w:rPr>
        <w:t>the website cited in subsection (a)</w:t>
      </w:r>
      <w:r w:rsidR="00CA3930" w:rsidRPr="00421B46">
        <w:rPr>
          <w:rFonts w:ascii="Times New Roman" w:eastAsia="Times New Roman" w:hAnsi="Times New Roman"/>
          <w:color w:val="000000"/>
          <w:sz w:val="24"/>
          <w:szCs w:val="27"/>
        </w:rPr>
        <w:t>.</w:t>
      </w:r>
      <w:r w:rsidR="00CA3930" w:rsidRPr="00372B0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BEE5735" w14:textId="067A36D8" w:rsidR="007E4DC6" w:rsidRPr="00421B46" w:rsidRDefault="007E4DC6" w:rsidP="007E4DC6">
      <w:pPr>
        <w:rPr>
          <w:rFonts w:ascii="Times New Roman" w:eastAsia="Times New Roman" w:hAnsi="Times New Roman"/>
          <w:color w:val="000000"/>
          <w:sz w:val="24"/>
          <w:szCs w:val="27"/>
        </w:rPr>
      </w:pPr>
    </w:p>
    <w:p w14:paraId="01947A54" w14:textId="5D2EE990" w:rsidR="007E4DC6" w:rsidRPr="00421B46" w:rsidRDefault="007E4DC6" w:rsidP="007E4DC6">
      <w:pPr>
        <w:ind w:left="2160" w:hanging="720"/>
        <w:rPr>
          <w:rFonts w:ascii="Times New Roman" w:eastAsia="Times New Roman" w:hAnsi="Times New Roman"/>
          <w:color w:val="000000"/>
          <w:sz w:val="24"/>
          <w:szCs w:val="27"/>
        </w:rPr>
      </w:pP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2)</w:t>
      </w:r>
      <w:r>
        <w:rPr>
          <w:rFonts w:ascii="Times New Roman" w:eastAsia="Times New Roman" w:hAnsi="Times New Roman"/>
          <w:color w:val="000000"/>
          <w:sz w:val="24"/>
          <w:szCs w:val="27"/>
        </w:rPr>
        <w:tab/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The owner of any heating oil UST in the ground as of September 6, 1991 who first registered the tank with </w:t>
      </w:r>
      <w:proofErr w:type="spellStart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OSFM</w:t>
      </w:r>
      <w:proofErr w:type="spellEnd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on or after July 2, 1992 (never having been registered) shall pay to </w:t>
      </w:r>
      <w:proofErr w:type="spellStart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OSFM</w:t>
      </w:r>
      <w:proofErr w:type="spellEnd"/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a registration fee of $500 per tank. </w:t>
      </w:r>
      <w:r w:rsidR="00CA3930">
        <w:rPr>
          <w:rFonts w:ascii="Times New Roman" w:eastAsia="Times New Roman" w:hAnsi="Times New Roman"/>
          <w:color w:val="000000"/>
          <w:sz w:val="24"/>
          <w:szCs w:val="27"/>
        </w:rPr>
        <w:t xml:space="preserve">This fee </w:t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is to be </w:t>
      </w:r>
      <w:r w:rsidR="00CA3930">
        <w:rPr>
          <w:rFonts w:ascii="Times New Roman" w:eastAsia="Times New Roman" w:hAnsi="Times New Roman"/>
          <w:color w:val="000000"/>
          <w:sz w:val="24"/>
          <w:szCs w:val="27"/>
        </w:rPr>
        <w:t>paid</w:t>
      </w:r>
      <w:r w:rsidR="00CA3930" w:rsidRPr="00421B46">
        <w:rPr>
          <w:rFonts w:ascii="Times New Roman" w:eastAsia="Times New Roman" w:hAnsi="Times New Roman"/>
          <w:color w:val="000000"/>
          <w:sz w:val="24"/>
          <w:szCs w:val="27"/>
        </w:rPr>
        <w:t xml:space="preserve"> </w:t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by check or money order made payable to Office of the State Fire Ma</w:t>
      </w:r>
      <w:r w:rsidR="00CA3930">
        <w:rPr>
          <w:rFonts w:ascii="Times New Roman" w:eastAsia="Times New Roman" w:hAnsi="Times New Roman"/>
          <w:color w:val="000000"/>
          <w:sz w:val="24"/>
          <w:szCs w:val="27"/>
        </w:rPr>
        <w:t>rsh</w:t>
      </w:r>
      <w:r w:rsidR="00E56519">
        <w:rPr>
          <w:rFonts w:ascii="Times New Roman" w:eastAsia="Times New Roman" w:hAnsi="Times New Roman"/>
          <w:color w:val="000000"/>
          <w:sz w:val="24"/>
          <w:szCs w:val="27"/>
        </w:rPr>
        <w:t>al</w:t>
      </w:r>
      <w:r w:rsidR="00E56519">
        <w:rPr>
          <w:rFonts w:ascii="Times New Roman" w:eastAsia="Times New Roman" w:hAnsi="Times New Roman"/>
          <w:sz w:val="24"/>
          <w:szCs w:val="24"/>
        </w:rPr>
        <w:t>, or electronic payment via the electronic Notification for Underground Storage Tanks form, available at the forms page for the Division of Petroleum and Chemical Safety at</w:t>
      </w:r>
      <w:r w:rsidR="00E56519" w:rsidRPr="00372B0B">
        <w:rPr>
          <w:rFonts w:ascii="Times New Roman" w:eastAsia="Times New Roman" w:hAnsi="Times New Roman"/>
          <w:sz w:val="24"/>
          <w:szCs w:val="24"/>
        </w:rPr>
        <w:t xml:space="preserve"> </w:t>
      </w:r>
      <w:r w:rsidR="00E56519" w:rsidRPr="00265161">
        <w:rPr>
          <w:rFonts w:ascii="Times New Roman" w:eastAsia="Times New Roman" w:hAnsi="Times New Roman"/>
          <w:sz w:val="24"/>
          <w:szCs w:val="24"/>
        </w:rPr>
        <w:t>the website cited in subsection (a)</w:t>
      </w:r>
      <w:r w:rsidR="00E56519" w:rsidRPr="00421B46">
        <w:rPr>
          <w:rFonts w:ascii="Times New Roman" w:eastAsia="Times New Roman" w:hAnsi="Times New Roman"/>
          <w:color w:val="000000"/>
          <w:sz w:val="24"/>
          <w:szCs w:val="27"/>
        </w:rPr>
        <w:t>.</w:t>
      </w:r>
    </w:p>
    <w:p w14:paraId="3825958C" w14:textId="04755C6C" w:rsidR="007E4DC6" w:rsidRPr="00421B46" w:rsidRDefault="007E4DC6" w:rsidP="007E4DC6">
      <w:pPr>
        <w:rPr>
          <w:rFonts w:ascii="Times New Roman" w:eastAsia="Times New Roman" w:hAnsi="Times New Roman"/>
          <w:color w:val="000000"/>
          <w:sz w:val="24"/>
          <w:szCs w:val="27"/>
        </w:rPr>
      </w:pPr>
    </w:p>
    <w:p w14:paraId="14E6FC12" w14:textId="77777777" w:rsidR="007E4DC6" w:rsidRPr="00421B46" w:rsidRDefault="007E4DC6" w:rsidP="007E4DC6">
      <w:pPr>
        <w:ind w:left="2160" w:hanging="720"/>
        <w:rPr>
          <w:rFonts w:ascii="Times New Roman" w:eastAsia="Times New Roman" w:hAnsi="Times New Roman"/>
          <w:color w:val="000000"/>
          <w:sz w:val="24"/>
          <w:szCs w:val="27"/>
        </w:rPr>
      </w:pP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3)</w:t>
      </w:r>
      <w:r>
        <w:rPr>
          <w:rFonts w:ascii="Times New Roman" w:eastAsia="Times New Roman" w:hAnsi="Times New Roman"/>
          <w:color w:val="000000"/>
          <w:sz w:val="24"/>
          <w:szCs w:val="27"/>
        </w:rPr>
        <w:tab/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The owner who first registers a heating oil UST is responsible for the fee under either subsection (b)(1) or (b)(2), whichever is applicable, but not both.</w:t>
      </w:r>
    </w:p>
    <w:p w14:paraId="7C61062B" w14:textId="25674978" w:rsidR="007E4DC6" w:rsidRPr="00421B46" w:rsidRDefault="007E4DC6" w:rsidP="007E4DC6">
      <w:pPr>
        <w:rPr>
          <w:rFonts w:ascii="Times New Roman" w:eastAsia="Times New Roman" w:hAnsi="Times New Roman"/>
          <w:color w:val="000000"/>
          <w:sz w:val="24"/>
          <w:szCs w:val="27"/>
        </w:rPr>
      </w:pPr>
    </w:p>
    <w:p w14:paraId="08BC2209" w14:textId="5D90321A" w:rsidR="007E4DC6" w:rsidRPr="00421B46" w:rsidRDefault="007E4DC6" w:rsidP="007E4DC6">
      <w:pPr>
        <w:ind w:left="2160" w:hanging="720"/>
        <w:rPr>
          <w:rFonts w:ascii="Times New Roman" w:eastAsia="Times New Roman" w:hAnsi="Times New Roman"/>
          <w:color w:val="000000"/>
          <w:sz w:val="24"/>
          <w:szCs w:val="27"/>
        </w:rPr>
      </w:pP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4)</w:t>
      </w:r>
      <w:r>
        <w:rPr>
          <w:rFonts w:ascii="Times New Roman" w:eastAsia="Times New Roman" w:hAnsi="Times New Roman"/>
          <w:color w:val="000000"/>
          <w:sz w:val="24"/>
          <w:szCs w:val="27"/>
        </w:rPr>
        <w:tab/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The owner of any heating oil UST in the ground as of July 11, 1990, but</w:t>
      </w:r>
      <w:r w:rsidRPr="007E4DC6">
        <w:rPr>
          <w:rFonts w:ascii="Times New Roman" w:eastAsia="Times New Roman" w:hAnsi="Times New Roman"/>
          <w:color w:val="000000"/>
          <w:sz w:val="24"/>
          <w:szCs w:val="27"/>
        </w:rPr>
        <w:t xml:space="preserve"> </w:t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removed prior to September 6, 1991, although regulated, is not required to pay a registration fee.</w:t>
      </w:r>
    </w:p>
    <w:p w14:paraId="34726420" w14:textId="1C7CA3FC" w:rsidR="007E4DC6" w:rsidRPr="00421B46" w:rsidRDefault="007E4DC6" w:rsidP="00B75223">
      <w:pPr>
        <w:rPr>
          <w:rFonts w:ascii="Times New Roman" w:eastAsia="Times New Roman" w:hAnsi="Times New Roman"/>
          <w:color w:val="000000"/>
          <w:sz w:val="24"/>
          <w:szCs w:val="27"/>
        </w:rPr>
      </w:pPr>
    </w:p>
    <w:p w14:paraId="2377E396" w14:textId="77777777" w:rsidR="007E4DC6" w:rsidRPr="00421B46" w:rsidRDefault="007E4DC6" w:rsidP="007E4DC6">
      <w:pPr>
        <w:ind w:left="2160" w:hanging="720"/>
        <w:rPr>
          <w:rFonts w:ascii="Times New Roman" w:eastAsia="Times New Roman" w:hAnsi="Times New Roman"/>
          <w:color w:val="000000"/>
          <w:sz w:val="24"/>
          <w:szCs w:val="27"/>
        </w:rPr>
      </w:pPr>
      <w:r w:rsidRPr="00421B46">
        <w:rPr>
          <w:rFonts w:ascii="Times New Roman" w:eastAsia="Times New Roman" w:hAnsi="Times New Roman"/>
          <w:color w:val="000000"/>
          <w:sz w:val="24"/>
          <w:szCs w:val="27"/>
        </w:rPr>
        <w:lastRenderedPageBreak/>
        <w:t>5)</w:t>
      </w:r>
      <w:r>
        <w:rPr>
          <w:rFonts w:ascii="Times New Roman" w:eastAsia="Times New Roman" w:hAnsi="Times New Roman"/>
          <w:color w:val="000000"/>
          <w:sz w:val="24"/>
          <w:szCs w:val="27"/>
        </w:rPr>
        <w:tab/>
      </w:r>
      <w:r w:rsidRPr="00421B46">
        <w:rPr>
          <w:rFonts w:ascii="Times New Roman" w:eastAsia="Times New Roman" w:hAnsi="Times New Roman"/>
          <w:color w:val="000000"/>
          <w:sz w:val="24"/>
          <w:szCs w:val="27"/>
        </w:rPr>
        <w:t>The owner of any heating oil UST installed in the ground on or after July 2, 1992, although regulated, is not required to pay a registration fee.</w:t>
      </w:r>
    </w:p>
    <w:p w14:paraId="4962C1AA" w14:textId="77777777" w:rsidR="007E4DC6" w:rsidRDefault="007E4DC6" w:rsidP="00B75223">
      <w:pPr>
        <w:rPr>
          <w:rFonts w:ascii="Times New Roman" w:eastAsia="Times New Roman" w:hAnsi="Times New Roman"/>
          <w:sz w:val="24"/>
          <w:szCs w:val="24"/>
        </w:rPr>
      </w:pPr>
    </w:p>
    <w:p w14:paraId="6CAC7E3B" w14:textId="04AAC9BA" w:rsidR="007E4DC6" w:rsidRPr="008961CE" w:rsidRDefault="007E4DC6" w:rsidP="007E4DC6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8961CE">
        <w:rPr>
          <w:rFonts w:ascii="Times New Roman" w:eastAsia="Times New Roman" w:hAnsi="Times New Roman"/>
          <w:sz w:val="24"/>
          <w:szCs w:val="24"/>
        </w:rPr>
        <w:t>(Source:  Amended at 4</w:t>
      </w:r>
      <w:r w:rsidR="008870EB">
        <w:rPr>
          <w:rFonts w:ascii="Times New Roman" w:eastAsia="Times New Roman" w:hAnsi="Times New Roman"/>
          <w:sz w:val="24"/>
          <w:szCs w:val="24"/>
        </w:rPr>
        <w:t>7</w:t>
      </w:r>
      <w:r w:rsidRPr="008961CE">
        <w:rPr>
          <w:rFonts w:ascii="Times New Roman" w:eastAsia="Times New Roman" w:hAnsi="Times New Roman"/>
          <w:sz w:val="24"/>
          <w:szCs w:val="24"/>
        </w:rPr>
        <w:t xml:space="preserve"> Ill. Reg. </w:t>
      </w:r>
      <w:r w:rsidR="009F46F0">
        <w:rPr>
          <w:rFonts w:ascii="Times New Roman" w:eastAsia="Times New Roman" w:hAnsi="Times New Roman"/>
          <w:sz w:val="24"/>
          <w:szCs w:val="24"/>
        </w:rPr>
        <w:t>6949</w:t>
      </w:r>
      <w:r w:rsidRPr="008961CE">
        <w:rPr>
          <w:rFonts w:ascii="Times New Roman" w:eastAsia="Times New Roman" w:hAnsi="Times New Roman"/>
          <w:sz w:val="24"/>
          <w:szCs w:val="24"/>
        </w:rPr>
        <w:t xml:space="preserve">, effective </w:t>
      </w:r>
      <w:r w:rsidR="009F46F0">
        <w:rPr>
          <w:rFonts w:ascii="Times New Roman" w:eastAsia="Times New Roman" w:hAnsi="Times New Roman"/>
          <w:sz w:val="24"/>
          <w:szCs w:val="24"/>
        </w:rPr>
        <w:t>May 2, 2023</w:t>
      </w:r>
      <w:r w:rsidRPr="008961CE">
        <w:rPr>
          <w:rFonts w:ascii="Times New Roman" w:eastAsia="Times New Roman" w:hAnsi="Times New Roman"/>
          <w:sz w:val="24"/>
          <w:szCs w:val="24"/>
        </w:rPr>
        <w:t>)</w:t>
      </w:r>
    </w:p>
    <w:sectPr w:rsidR="007E4DC6" w:rsidRPr="008961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3156" w14:textId="77777777" w:rsidR="005B74CB" w:rsidRDefault="005B74CB">
      <w:r>
        <w:separator/>
      </w:r>
    </w:p>
  </w:endnote>
  <w:endnote w:type="continuationSeparator" w:id="0">
    <w:p w14:paraId="56338C50" w14:textId="77777777" w:rsidR="005B74CB" w:rsidRDefault="005B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333A" w14:textId="77777777" w:rsidR="005B74CB" w:rsidRDefault="005B74CB">
      <w:r>
        <w:separator/>
      </w:r>
    </w:p>
  </w:footnote>
  <w:footnote w:type="continuationSeparator" w:id="0">
    <w:p w14:paraId="4C34EF78" w14:textId="77777777" w:rsidR="005B74CB" w:rsidRDefault="005B7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37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99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4C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9DC"/>
    <w:rsid w:val="00740393"/>
    <w:rsid w:val="00742136"/>
    <w:rsid w:val="00744356"/>
    <w:rsid w:val="00744AF9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DC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0EB"/>
    <w:rsid w:val="008923A8"/>
    <w:rsid w:val="00897EA5"/>
    <w:rsid w:val="008B5152"/>
    <w:rsid w:val="008B56EA"/>
    <w:rsid w:val="008B77D8"/>
    <w:rsid w:val="008C1560"/>
    <w:rsid w:val="008C4FAF"/>
    <w:rsid w:val="008C5359"/>
    <w:rsid w:val="008C7CDD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6F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22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930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72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651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CCB33"/>
  <w15:chartTrackingRefBased/>
  <w15:docId w15:val="{98FA6970-35FA-4A16-9388-B0AB144F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DC6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uiPriority w:val="99"/>
    <w:unhideWhenUsed/>
    <w:rsid w:val="007E4D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2023-04-26T18:52:00Z</dcterms:created>
  <dcterms:modified xsi:type="dcterms:W3CDTF">2023-05-19T00:30:00Z</dcterms:modified>
</cp:coreProperties>
</file>